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245C" w14:textId="509DFDC2" w:rsidR="00C66995" w:rsidRDefault="001D0989" w:rsidP="0029533E">
      <w:pPr>
        <w:ind w:left="-1276" w:firstLine="1276"/>
        <w:rPr>
          <w:sz w:val="72"/>
        </w:rPr>
      </w:pPr>
      <w:r w:rsidRPr="0029533E">
        <w:rPr>
          <w:noProof/>
          <w:sz w:val="18"/>
          <w:szCs w:val="18"/>
          <w:lang w:eastAsia="en-GB"/>
        </w:rPr>
        <w:drawing>
          <wp:anchor distT="0" distB="0" distL="114300" distR="114300" simplePos="0" relativeHeight="251657728" behindDoc="1" locked="0" layoutInCell="1" allowOverlap="1" wp14:anchorId="15BF1CE5" wp14:editId="4468A49A">
            <wp:simplePos x="0" y="0"/>
            <wp:positionH relativeFrom="margin">
              <wp:align>center</wp:align>
            </wp:positionH>
            <wp:positionV relativeFrom="paragraph">
              <wp:posOffset>-1031875</wp:posOffset>
            </wp:positionV>
            <wp:extent cx="7626391" cy="107876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Blank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91" cy="10787654"/>
                    </a:xfrm>
                    <a:prstGeom prst="rect">
                      <a:avLst/>
                    </a:prstGeom>
                  </pic:spPr>
                </pic:pic>
              </a:graphicData>
            </a:graphic>
            <wp14:sizeRelH relativeFrom="margin">
              <wp14:pctWidth>0</wp14:pctWidth>
            </wp14:sizeRelH>
            <wp14:sizeRelV relativeFrom="margin">
              <wp14:pctHeight>0</wp14:pctHeight>
            </wp14:sizeRelV>
          </wp:anchor>
        </w:drawing>
      </w:r>
      <w:r w:rsidR="0029533E">
        <w:rPr>
          <w:noProof/>
          <w:sz w:val="18"/>
          <w:szCs w:val="18"/>
          <w:lang w:eastAsia="en-GB"/>
        </w:rPr>
        <w:t>Appendix A</w:t>
      </w:r>
    </w:p>
    <w:p w14:paraId="719D8B7E" w14:textId="5DD43BB4" w:rsidR="006605B2" w:rsidRDefault="00085EA4" w:rsidP="00F21CA0">
      <w:pPr>
        <w:ind w:left="-1276" w:firstLine="1276"/>
        <w:jc w:val="center"/>
        <w:rPr>
          <w:sz w:val="72"/>
        </w:rPr>
      </w:pPr>
      <w:r>
        <w:rPr>
          <w:noProof/>
          <w:lang w:eastAsia="en-GB"/>
        </w:rPr>
        <mc:AlternateContent>
          <mc:Choice Requires="wps">
            <w:drawing>
              <wp:anchor distT="0" distB="0" distL="114300" distR="114300" simplePos="0" relativeHeight="251658752" behindDoc="0" locked="0" layoutInCell="1" allowOverlap="1" wp14:anchorId="2BEAE30F" wp14:editId="063EAA6D">
                <wp:simplePos x="0" y="0"/>
                <wp:positionH relativeFrom="column">
                  <wp:posOffset>-186055</wp:posOffset>
                </wp:positionH>
                <wp:positionV relativeFrom="paragraph">
                  <wp:posOffset>3023870</wp:posOffset>
                </wp:positionV>
                <wp:extent cx="4267200" cy="38290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67200" cy="3829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937E91" w14:textId="6CA991C8" w:rsidR="00B11059" w:rsidRPr="002A3DBD" w:rsidRDefault="00B11059" w:rsidP="00815A2D">
                            <w:pPr>
                              <w:spacing w:line="560" w:lineRule="exact"/>
                              <w:rPr>
                                <w:b/>
                                <w:color w:val="262626" w:themeColor="text1" w:themeTint="D9"/>
                                <w:sz w:val="56"/>
                                <w:szCs w:val="46"/>
                                <w:lang w:val="en-US"/>
                              </w:rPr>
                            </w:pPr>
                            <w:r>
                              <w:rPr>
                                <w:b/>
                                <w:color w:val="262626" w:themeColor="text1" w:themeTint="D9"/>
                                <w:sz w:val="56"/>
                                <w:szCs w:val="46"/>
                                <w:lang w:val="en-US"/>
                              </w:rPr>
                              <w:t xml:space="preserve">Annual Internal Audit </w:t>
                            </w:r>
                            <w:r w:rsidR="008165DC">
                              <w:rPr>
                                <w:b/>
                                <w:color w:val="262626" w:themeColor="text1" w:themeTint="D9"/>
                                <w:sz w:val="56"/>
                                <w:szCs w:val="46"/>
                                <w:lang w:val="en-US"/>
                              </w:rPr>
                              <w:t xml:space="preserve">Report and </w:t>
                            </w:r>
                            <w:r>
                              <w:rPr>
                                <w:b/>
                                <w:color w:val="262626" w:themeColor="text1" w:themeTint="D9"/>
                                <w:sz w:val="56"/>
                                <w:szCs w:val="46"/>
                                <w:lang w:val="en-US"/>
                              </w:rPr>
                              <w:t>Opinion</w:t>
                            </w:r>
                          </w:p>
                          <w:p w14:paraId="156B59EB" w14:textId="6C090315" w:rsidR="00B11059" w:rsidRPr="002A3DBD" w:rsidRDefault="00B11059" w:rsidP="00085EA4">
                            <w:pPr>
                              <w:spacing w:line="560" w:lineRule="exact"/>
                              <w:rPr>
                                <w:color w:val="262626" w:themeColor="text1" w:themeTint="D9"/>
                                <w:sz w:val="46"/>
                                <w:szCs w:val="46"/>
                                <w:lang w:val="en-US"/>
                              </w:rPr>
                            </w:pPr>
                            <w:r w:rsidRPr="002A3DBD">
                              <w:rPr>
                                <w:color w:val="262626" w:themeColor="text1" w:themeTint="D9"/>
                                <w:sz w:val="46"/>
                                <w:szCs w:val="46"/>
                                <w:lang w:val="en-US"/>
                              </w:rPr>
                              <w:t>202</w:t>
                            </w:r>
                            <w:r>
                              <w:rPr>
                                <w:color w:val="262626" w:themeColor="text1" w:themeTint="D9"/>
                                <w:sz w:val="46"/>
                                <w:szCs w:val="46"/>
                                <w:lang w:val="en-US"/>
                              </w:rPr>
                              <w:t>1</w:t>
                            </w:r>
                            <w:r w:rsidRPr="002A3DBD">
                              <w:rPr>
                                <w:color w:val="262626" w:themeColor="text1" w:themeTint="D9"/>
                                <w:sz w:val="46"/>
                                <w:szCs w:val="46"/>
                                <w:lang w:val="en-US"/>
                              </w:rPr>
                              <w:t>/202</w:t>
                            </w:r>
                            <w:r>
                              <w:rPr>
                                <w:color w:val="262626" w:themeColor="text1" w:themeTint="D9"/>
                                <w:sz w:val="46"/>
                                <w:szCs w:val="46"/>
                                <w:lang w:val="en-US"/>
                              </w:rPr>
                              <w:t>2</w:t>
                            </w:r>
                          </w:p>
                          <w:p w14:paraId="52654CA9" w14:textId="77777777" w:rsidR="00B11059" w:rsidRDefault="00B11059" w:rsidP="00085EA4">
                            <w:pPr>
                              <w:rPr>
                                <w:color w:val="262626" w:themeColor="text1" w:themeTint="D9"/>
                                <w:sz w:val="40"/>
                                <w:szCs w:val="40"/>
                                <w:lang w:val="en-US"/>
                              </w:rPr>
                            </w:pPr>
                          </w:p>
                          <w:p w14:paraId="133AC364" w14:textId="77777777" w:rsidR="00B11059" w:rsidRDefault="00B11059" w:rsidP="00085EA4">
                            <w:pPr>
                              <w:rPr>
                                <w:color w:val="262626" w:themeColor="text1" w:themeTint="D9"/>
                                <w:sz w:val="40"/>
                                <w:szCs w:val="40"/>
                                <w:lang w:val="en-US"/>
                              </w:rPr>
                            </w:pPr>
                          </w:p>
                          <w:p w14:paraId="0BDD9584" w14:textId="15105379" w:rsidR="00B11059" w:rsidRPr="002A3DBD" w:rsidRDefault="00B11059" w:rsidP="00085EA4">
                            <w:pPr>
                              <w:spacing w:line="360" w:lineRule="exact"/>
                              <w:rPr>
                                <w:color w:val="262626" w:themeColor="text1" w:themeTint="D9"/>
                                <w:sz w:val="28"/>
                                <w:szCs w:val="28"/>
                                <w:lang w:val="en-US"/>
                              </w:rPr>
                            </w:pPr>
                            <w:r>
                              <w:rPr>
                                <w:color w:val="262626" w:themeColor="text1" w:themeTint="D9"/>
                                <w:sz w:val="28"/>
                                <w:szCs w:val="28"/>
                                <w:lang w:val="en-US"/>
                              </w:rPr>
                              <w:t xml:space="preserve">South </w:t>
                            </w:r>
                            <w:proofErr w:type="spellStart"/>
                            <w:r>
                              <w:rPr>
                                <w:color w:val="262626" w:themeColor="text1" w:themeTint="D9"/>
                                <w:sz w:val="28"/>
                                <w:szCs w:val="28"/>
                                <w:lang w:val="en-US"/>
                              </w:rPr>
                              <w:t>Ribble</w:t>
                            </w:r>
                            <w:proofErr w:type="spellEnd"/>
                            <w:r>
                              <w:rPr>
                                <w:color w:val="262626" w:themeColor="text1" w:themeTint="D9"/>
                                <w:sz w:val="28"/>
                                <w:szCs w:val="28"/>
                                <w:lang w:val="en-US"/>
                              </w:rPr>
                              <w:t xml:space="preserve"> Borough Council</w:t>
                            </w:r>
                          </w:p>
                          <w:p w14:paraId="4EBD99F5" w14:textId="1D4ED4FC" w:rsidR="00B11059" w:rsidRPr="002A3DBD" w:rsidRDefault="00B11059"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Date </w:t>
                            </w:r>
                            <w:r>
                              <w:rPr>
                                <w:color w:val="262626" w:themeColor="text1" w:themeTint="D9"/>
                                <w:sz w:val="28"/>
                                <w:szCs w:val="28"/>
                                <w:lang w:val="en-US"/>
                              </w:rPr>
                              <w:t>24</w:t>
                            </w:r>
                            <w:r w:rsidRPr="00AF338B">
                              <w:rPr>
                                <w:color w:val="262626" w:themeColor="text1" w:themeTint="D9"/>
                                <w:sz w:val="28"/>
                                <w:szCs w:val="28"/>
                                <w:vertAlign w:val="superscript"/>
                                <w:lang w:val="en-US"/>
                              </w:rPr>
                              <w:t>th</w:t>
                            </w:r>
                            <w:r>
                              <w:rPr>
                                <w:color w:val="262626" w:themeColor="text1" w:themeTint="D9"/>
                                <w:sz w:val="28"/>
                                <w:szCs w:val="28"/>
                                <w:lang w:val="en-US"/>
                              </w:rPr>
                              <w:t xml:space="preserve"> May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AE30F" id="_x0000_t202" coordsize="21600,21600" o:spt="202" path="m,l,21600r21600,l21600,xe">
                <v:stroke joinstyle="miter"/>
                <v:path gradientshapeok="t" o:connecttype="rect"/>
              </v:shapetype>
              <v:shape id="Text Box 2" o:spid="_x0000_s1026" type="#_x0000_t202" style="position:absolute;left:0;text-align:left;margin-left:-14.65pt;margin-top:238.1pt;width:336pt;height:3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" filled="f" stroked="f">
                <v:textbox>
                  <w:txbxContent>
                    <w:p w14:paraId="60937E91" w14:textId="6CA991C8" w:rsidR="00B11059" w:rsidRPr="002A3DBD" w:rsidRDefault="00B11059" w:rsidP="00815A2D">
                      <w:pPr>
                        <w:spacing w:line="560" w:lineRule="exact"/>
                        <w:rPr>
                          <w:b/>
                          <w:color w:val="262626" w:themeColor="text1" w:themeTint="D9"/>
                          <w:sz w:val="56"/>
                          <w:szCs w:val="46"/>
                          <w:lang w:val="en-US"/>
                        </w:rPr>
                      </w:pPr>
                      <w:r>
                        <w:rPr>
                          <w:b/>
                          <w:color w:val="262626" w:themeColor="text1" w:themeTint="D9"/>
                          <w:sz w:val="56"/>
                          <w:szCs w:val="46"/>
                          <w:lang w:val="en-US"/>
                        </w:rPr>
                        <w:t xml:space="preserve">Annual Internal Audit </w:t>
                      </w:r>
                      <w:r w:rsidR="008165DC">
                        <w:rPr>
                          <w:b/>
                          <w:color w:val="262626" w:themeColor="text1" w:themeTint="D9"/>
                          <w:sz w:val="56"/>
                          <w:szCs w:val="46"/>
                          <w:lang w:val="en-US"/>
                        </w:rPr>
                        <w:t xml:space="preserve">Report and </w:t>
                      </w:r>
                      <w:r>
                        <w:rPr>
                          <w:b/>
                          <w:color w:val="262626" w:themeColor="text1" w:themeTint="D9"/>
                          <w:sz w:val="56"/>
                          <w:szCs w:val="46"/>
                          <w:lang w:val="en-US"/>
                        </w:rPr>
                        <w:t>Opinion</w:t>
                      </w:r>
                    </w:p>
                    <w:p w14:paraId="156B59EB" w14:textId="6C090315" w:rsidR="00B11059" w:rsidRPr="002A3DBD" w:rsidRDefault="00B11059" w:rsidP="00085EA4">
                      <w:pPr>
                        <w:spacing w:line="560" w:lineRule="exact"/>
                        <w:rPr>
                          <w:color w:val="262626" w:themeColor="text1" w:themeTint="D9"/>
                          <w:sz w:val="46"/>
                          <w:szCs w:val="46"/>
                          <w:lang w:val="en-US"/>
                        </w:rPr>
                      </w:pPr>
                      <w:r w:rsidRPr="002A3DBD">
                        <w:rPr>
                          <w:color w:val="262626" w:themeColor="text1" w:themeTint="D9"/>
                          <w:sz w:val="46"/>
                          <w:szCs w:val="46"/>
                          <w:lang w:val="en-US"/>
                        </w:rPr>
                        <w:t>202</w:t>
                      </w:r>
                      <w:r>
                        <w:rPr>
                          <w:color w:val="262626" w:themeColor="text1" w:themeTint="D9"/>
                          <w:sz w:val="46"/>
                          <w:szCs w:val="46"/>
                          <w:lang w:val="en-US"/>
                        </w:rPr>
                        <w:t>1</w:t>
                      </w:r>
                      <w:r w:rsidRPr="002A3DBD">
                        <w:rPr>
                          <w:color w:val="262626" w:themeColor="text1" w:themeTint="D9"/>
                          <w:sz w:val="46"/>
                          <w:szCs w:val="46"/>
                          <w:lang w:val="en-US"/>
                        </w:rPr>
                        <w:t>/202</w:t>
                      </w:r>
                      <w:r>
                        <w:rPr>
                          <w:color w:val="262626" w:themeColor="text1" w:themeTint="D9"/>
                          <w:sz w:val="46"/>
                          <w:szCs w:val="46"/>
                          <w:lang w:val="en-US"/>
                        </w:rPr>
                        <w:t>2</w:t>
                      </w:r>
                    </w:p>
                    <w:p w14:paraId="52654CA9" w14:textId="77777777" w:rsidR="00B11059" w:rsidRDefault="00B11059" w:rsidP="00085EA4">
                      <w:pPr>
                        <w:rPr>
                          <w:color w:val="262626" w:themeColor="text1" w:themeTint="D9"/>
                          <w:sz w:val="40"/>
                          <w:szCs w:val="40"/>
                          <w:lang w:val="en-US"/>
                        </w:rPr>
                      </w:pPr>
                    </w:p>
                    <w:p w14:paraId="133AC364" w14:textId="77777777" w:rsidR="00B11059" w:rsidRDefault="00B11059" w:rsidP="00085EA4">
                      <w:pPr>
                        <w:rPr>
                          <w:color w:val="262626" w:themeColor="text1" w:themeTint="D9"/>
                          <w:sz w:val="40"/>
                          <w:szCs w:val="40"/>
                          <w:lang w:val="en-US"/>
                        </w:rPr>
                      </w:pPr>
                    </w:p>
                    <w:p w14:paraId="0BDD9584" w14:textId="15105379" w:rsidR="00B11059" w:rsidRPr="002A3DBD" w:rsidRDefault="00B11059" w:rsidP="00085EA4">
                      <w:pPr>
                        <w:spacing w:line="360" w:lineRule="exact"/>
                        <w:rPr>
                          <w:color w:val="262626" w:themeColor="text1" w:themeTint="D9"/>
                          <w:sz w:val="28"/>
                          <w:szCs w:val="28"/>
                          <w:lang w:val="en-US"/>
                        </w:rPr>
                      </w:pPr>
                      <w:r>
                        <w:rPr>
                          <w:color w:val="262626" w:themeColor="text1" w:themeTint="D9"/>
                          <w:sz w:val="28"/>
                          <w:szCs w:val="28"/>
                          <w:lang w:val="en-US"/>
                        </w:rPr>
                        <w:t xml:space="preserve">South </w:t>
                      </w:r>
                      <w:proofErr w:type="spellStart"/>
                      <w:r>
                        <w:rPr>
                          <w:color w:val="262626" w:themeColor="text1" w:themeTint="D9"/>
                          <w:sz w:val="28"/>
                          <w:szCs w:val="28"/>
                          <w:lang w:val="en-US"/>
                        </w:rPr>
                        <w:t>Ribble</w:t>
                      </w:r>
                      <w:proofErr w:type="spellEnd"/>
                      <w:r>
                        <w:rPr>
                          <w:color w:val="262626" w:themeColor="text1" w:themeTint="D9"/>
                          <w:sz w:val="28"/>
                          <w:szCs w:val="28"/>
                          <w:lang w:val="en-US"/>
                        </w:rPr>
                        <w:t xml:space="preserve"> Borough Council</w:t>
                      </w:r>
                    </w:p>
                    <w:p w14:paraId="4EBD99F5" w14:textId="1D4ED4FC" w:rsidR="00B11059" w:rsidRPr="002A3DBD" w:rsidRDefault="00B11059"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Date </w:t>
                      </w:r>
                      <w:r>
                        <w:rPr>
                          <w:color w:val="262626" w:themeColor="text1" w:themeTint="D9"/>
                          <w:sz w:val="28"/>
                          <w:szCs w:val="28"/>
                          <w:lang w:val="en-US"/>
                        </w:rPr>
                        <w:t>24</w:t>
                      </w:r>
                      <w:r w:rsidRPr="00AF338B">
                        <w:rPr>
                          <w:color w:val="262626" w:themeColor="text1" w:themeTint="D9"/>
                          <w:sz w:val="28"/>
                          <w:szCs w:val="28"/>
                          <w:vertAlign w:val="superscript"/>
                          <w:lang w:val="en-US"/>
                        </w:rPr>
                        <w:t>th</w:t>
                      </w:r>
                      <w:r>
                        <w:rPr>
                          <w:color w:val="262626" w:themeColor="text1" w:themeTint="D9"/>
                          <w:sz w:val="28"/>
                          <w:szCs w:val="28"/>
                          <w:lang w:val="en-US"/>
                        </w:rPr>
                        <w:t xml:space="preserve"> May 2022</w:t>
                      </w:r>
                    </w:p>
                  </w:txbxContent>
                </v:textbox>
                <w10:wrap type="square"/>
              </v:shape>
            </w:pict>
          </mc:Fallback>
        </mc:AlternateContent>
      </w:r>
    </w:p>
    <w:p w14:paraId="799D56ED" w14:textId="77777777" w:rsidR="00EF277D" w:rsidRPr="008E60E3" w:rsidRDefault="00EF277D" w:rsidP="00C66995">
      <w:pPr>
        <w:ind w:left="-993" w:firstLine="993"/>
        <w:rPr>
          <w:rFonts w:cs="Arial"/>
          <w:b/>
        </w:rPr>
        <w:sectPr w:rsidR="00EF277D" w:rsidRPr="008E60E3" w:rsidSect="006605B2">
          <w:footerReference w:type="default" r:id="rId9"/>
          <w:pgSz w:w="11907" w:h="16839" w:code="9"/>
          <w:pgMar w:top="1440" w:right="850" w:bottom="1440" w:left="993" w:header="720" w:footer="720" w:gutter="0"/>
          <w:cols w:space="720"/>
          <w:titlePg/>
          <w:docGrid w:linePitch="326"/>
        </w:sectPr>
      </w:pPr>
    </w:p>
    <w:tbl>
      <w:tblPr>
        <w:tblStyle w:val="TableGrid"/>
        <w:tblW w:w="10661" w:type="dxa"/>
        <w:tblInd w:w="-1139" w:type="dxa"/>
        <w:tblLook w:val="04A0" w:firstRow="1" w:lastRow="0" w:firstColumn="1" w:lastColumn="0" w:noHBand="0" w:noVBand="1"/>
      </w:tblPr>
      <w:tblGrid>
        <w:gridCol w:w="339"/>
        <w:gridCol w:w="10322"/>
      </w:tblGrid>
      <w:tr w:rsidR="00C66995" w14:paraId="42DABACB" w14:textId="77777777" w:rsidTr="00A64F19">
        <w:tc>
          <w:tcPr>
            <w:tcW w:w="339" w:type="dxa"/>
            <w:shd w:val="clear" w:color="auto" w:fill="B8CCE4" w:themeFill="accent1" w:themeFillTint="66"/>
          </w:tcPr>
          <w:p w14:paraId="045110B5" w14:textId="77CB1124" w:rsidR="00C66995" w:rsidRPr="00C66995" w:rsidRDefault="00C66995" w:rsidP="005A5D55">
            <w:pPr>
              <w:jc w:val="both"/>
              <w:rPr>
                <w:rFonts w:cs="Arial"/>
                <w:b/>
                <w:szCs w:val="24"/>
              </w:rPr>
            </w:pPr>
          </w:p>
        </w:tc>
        <w:tc>
          <w:tcPr>
            <w:tcW w:w="10322" w:type="dxa"/>
            <w:shd w:val="clear" w:color="auto" w:fill="B8CCE4" w:themeFill="accent1" w:themeFillTint="66"/>
          </w:tcPr>
          <w:p w14:paraId="0F2CC052" w14:textId="3F55305B" w:rsidR="00C66995" w:rsidRPr="00AF338B" w:rsidRDefault="00AF338B" w:rsidP="005A5D55">
            <w:pPr>
              <w:jc w:val="both"/>
              <w:rPr>
                <w:rFonts w:cs="Arial"/>
                <w:b/>
                <w:bCs/>
                <w:iCs/>
                <w:szCs w:val="24"/>
              </w:rPr>
            </w:pPr>
            <w:r w:rsidRPr="00AF338B">
              <w:rPr>
                <w:rFonts w:cs="Arial"/>
                <w:b/>
                <w:bCs/>
                <w:iCs/>
                <w:szCs w:val="24"/>
              </w:rPr>
              <w:t>Introduction</w:t>
            </w:r>
          </w:p>
        </w:tc>
      </w:tr>
      <w:tr w:rsidR="0059255B" w14:paraId="23F6B4E0" w14:textId="77777777" w:rsidTr="004778AF">
        <w:tc>
          <w:tcPr>
            <w:tcW w:w="339" w:type="dxa"/>
          </w:tcPr>
          <w:p w14:paraId="0FD04F0A" w14:textId="21B55713" w:rsidR="0059255B" w:rsidRPr="00B26938" w:rsidRDefault="0059255B" w:rsidP="0059255B">
            <w:pPr>
              <w:jc w:val="both"/>
              <w:rPr>
                <w:rFonts w:cs="Arial"/>
                <w:sz w:val="22"/>
                <w:szCs w:val="22"/>
              </w:rPr>
            </w:pPr>
            <w:r w:rsidRPr="00B26938">
              <w:rPr>
                <w:rFonts w:cs="Arial"/>
                <w:sz w:val="22"/>
                <w:szCs w:val="22"/>
              </w:rPr>
              <w:t>1</w:t>
            </w:r>
          </w:p>
        </w:tc>
        <w:tc>
          <w:tcPr>
            <w:tcW w:w="10322" w:type="dxa"/>
            <w:shd w:val="clear" w:color="auto" w:fill="auto"/>
          </w:tcPr>
          <w:p w14:paraId="77D13669" w14:textId="77777777" w:rsidR="00AF338B" w:rsidRDefault="00AF338B" w:rsidP="00AF338B">
            <w:pPr>
              <w:rPr>
                <w:sz w:val="22"/>
                <w:szCs w:val="22"/>
              </w:rPr>
            </w:pPr>
            <w:r w:rsidRPr="00AF338B">
              <w:rPr>
                <w:sz w:val="22"/>
                <w:szCs w:val="22"/>
              </w:rPr>
              <w:t xml:space="preserve">The Public Sector Internal Audit Standards (PSIAS) note that a professional, independent and objective internal audit service is one of the key elements of good governance, as recognised throughout the UK public sector. </w:t>
            </w:r>
          </w:p>
          <w:p w14:paraId="0715E23A" w14:textId="77777777" w:rsidR="00AF338B" w:rsidRDefault="00AF338B" w:rsidP="00AF338B">
            <w:pPr>
              <w:rPr>
                <w:sz w:val="22"/>
                <w:szCs w:val="22"/>
              </w:rPr>
            </w:pPr>
          </w:p>
          <w:p w14:paraId="40AEC4BC" w14:textId="5FB735DE" w:rsidR="00AF338B" w:rsidRDefault="00AF338B" w:rsidP="00AF338B">
            <w:pPr>
              <w:rPr>
                <w:sz w:val="22"/>
                <w:szCs w:val="22"/>
              </w:rPr>
            </w:pPr>
            <w:r w:rsidRPr="00AF338B">
              <w:rPr>
                <w:sz w:val="22"/>
                <w:szCs w:val="22"/>
              </w:rPr>
              <w:t>The role of the Head of Audit, in accordance with the PSIAS, is to provide an annual opinion</w:t>
            </w:r>
            <w:r>
              <w:rPr>
                <w:sz w:val="22"/>
                <w:szCs w:val="22"/>
              </w:rPr>
              <w:t xml:space="preserve"> </w:t>
            </w:r>
            <w:r w:rsidRPr="00AF338B">
              <w:rPr>
                <w:sz w:val="22"/>
                <w:szCs w:val="22"/>
              </w:rPr>
              <w:t xml:space="preserve">on the overall adequacy and effectiveness of the organisation’s governance, risk management and control </w:t>
            </w:r>
            <w:r w:rsidR="005C4C21" w:rsidRPr="00AF338B">
              <w:rPr>
                <w:sz w:val="22"/>
                <w:szCs w:val="22"/>
              </w:rPr>
              <w:t>processes.</w:t>
            </w:r>
          </w:p>
          <w:p w14:paraId="6458054A" w14:textId="1FCFC4F2" w:rsidR="005C4C21" w:rsidRDefault="005C4C21" w:rsidP="00AF338B">
            <w:pPr>
              <w:rPr>
                <w:sz w:val="22"/>
                <w:szCs w:val="22"/>
              </w:rPr>
            </w:pPr>
          </w:p>
          <w:p w14:paraId="00C34252" w14:textId="37B91E86" w:rsidR="005C4C21" w:rsidRDefault="005C4C21" w:rsidP="005C4C21">
            <w:pPr>
              <w:rPr>
                <w:sz w:val="22"/>
                <w:szCs w:val="22"/>
              </w:rPr>
            </w:pPr>
            <w:r>
              <w:rPr>
                <w:sz w:val="22"/>
                <w:szCs w:val="22"/>
              </w:rPr>
              <w:t>T</w:t>
            </w:r>
            <w:r w:rsidRPr="00AF338B">
              <w:rPr>
                <w:sz w:val="22"/>
                <w:szCs w:val="22"/>
              </w:rPr>
              <w:t>he CIPFA Statement on the role of the Head of Internal Audit in Local Government noted that the Head of Internal Audit in a local authority plays a critical role in delivering the authority’s strategic objectives b</w:t>
            </w:r>
            <w:r>
              <w:rPr>
                <w:sz w:val="22"/>
                <w:szCs w:val="22"/>
              </w:rPr>
              <w:t>y g</w:t>
            </w:r>
            <w:r w:rsidRPr="00AF338B">
              <w:rPr>
                <w:sz w:val="22"/>
                <w:szCs w:val="22"/>
              </w:rPr>
              <w:t>iving an objective and evidence based opinion on all aspects of governance, risk management and internal control.</w:t>
            </w:r>
          </w:p>
          <w:p w14:paraId="1A36B47F" w14:textId="77777777" w:rsidR="00AF338B" w:rsidRDefault="00AF338B" w:rsidP="00AF338B">
            <w:pPr>
              <w:rPr>
                <w:sz w:val="22"/>
                <w:szCs w:val="22"/>
              </w:rPr>
            </w:pPr>
          </w:p>
          <w:p w14:paraId="52FA87C9" w14:textId="5023D92C" w:rsidR="005C4C21" w:rsidRDefault="00AF338B" w:rsidP="00AF338B">
            <w:pPr>
              <w:rPr>
                <w:sz w:val="22"/>
                <w:szCs w:val="22"/>
              </w:rPr>
            </w:pPr>
            <w:r>
              <w:rPr>
                <w:sz w:val="22"/>
                <w:szCs w:val="22"/>
              </w:rPr>
              <w:t xml:space="preserve">The opinion is </w:t>
            </w:r>
            <w:r w:rsidRPr="00AF338B">
              <w:rPr>
                <w:sz w:val="22"/>
                <w:szCs w:val="22"/>
              </w:rPr>
              <w:t>based upon the work performed</w:t>
            </w:r>
            <w:r>
              <w:rPr>
                <w:sz w:val="22"/>
                <w:szCs w:val="22"/>
              </w:rPr>
              <w:t xml:space="preserve"> and other sources of assurance, </w:t>
            </w:r>
            <w:r w:rsidRPr="00AF338B">
              <w:rPr>
                <w:sz w:val="22"/>
                <w:szCs w:val="22"/>
              </w:rPr>
              <w:t xml:space="preserve">achieved through a risk-based plan of work, </w:t>
            </w:r>
            <w:r>
              <w:rPr>
                <w:sz w:val="22"/>
                <w:szCs w:val="22"/>
              </w:rPr>
              <w:t xml:space="preserve">previously </w:t>
            </w:r>
            <w:r w:rsidRPr="00AF338B">
              <w:rPr>
                <w:sz w:val="22"/>
                <w:szCs w:val="22"/>
              </w:rPr>
              <w:t xml:space="preserve">agreed with the </w:t>
            </w:r>
            <w:r w:rsidR="0054289F">
              <w:rPr>
                <w:sz w:val="22"/>
                <w:szCs w:val="22"/>
              </w:rPr>
              <w:t xml:space="preserve">Shared </w:t>
            </w:r>
            <w:r>
              <w:rPr>
                <w:sz w:val="22"/>
                <w:szCs w:val="22"/>
              </w:rPr>
              <w:t xml:space="preserve">Senior Management Team </w:t>
            </w:r>
            <w:r w:rsidRPr="00AF338B">
              <w:rPr>
                <w:sz w:val="22"/>
                <w:szCs w:val="22"/>
              </w:rPr>
              <w:t xml:space="preserve">and approved by the </w:t>
            </w:r>
            <w:r w:rsidR="005C4C21">
              <w:rPr>
                <w:sz w:val="22"/>
                <w:szCs w:val="22"/>
              </w:rPr>
              <w:t xml:space="preserve">Governance </w:t>
            </w:r>
            <w:r w:rsidRPr="00AF338B">
              <w:rPr>
                <w:sz w:val="22"/>
                <w:szCs w:val="22"/>
              </w:rPr>
              <w:t>Committee</w:t>
            </w:r>
            <w:r w:rsidR="005C4C21">
              <w:rPr>
                <w:sz w:val="22"/>
                <w:szCs w:val="22"/>
              </w:rPr>
              <w:t xml:space="preserve">.   </w:t>
            </w:r>
          </w:p>
          <w:p w14:paraId="5C3CCFA4" w14:textId="0CE90B8D" w:rsidR="0059255B" w:rsidRPr="00AF338B" w:rsidRDefault="0059255B" w:rsidP="005C4C21">
            <w:pPr>
              <w:rPr>
                <w:rFonts w:cs="Arial"/>
                <w:i/>
                <w:sz w:val="22"/>
                <w:szCs w:val="22"/>
              </w:rPr>
            </w:pPr>
          </w:p>
        </w:tc>
      </w:tr>
      <w:tr w:rsidR="0059255B" w14:paraId="06D36C0A" w14:textId="77777777" w:rsidTr="00D872F7">
        <w:tc>
          <w:tcPr>
            <w:tcW w:w="339" w:type="dxa"/>
          </w:tcPr>
          <w:p w14:paraId="2F92DE85" w14:textId="5C9FBF2D" w:rsidR="0059255B" w:rsidRPr="00B26938" w:rsidRDefault="0059255B" w:rsidP="0059255B">
            <w:pPr>
              <w:jc w:val="both"/>
              <w:rPr>
                <w:rFonts w:cs="Arial"/>
                <w:sz w:val="22"/>
                <w:szCs w:val="22"/>
              </w:rPr>
            </w:pPr>
            <w:r w:rsidRPr="00B26938">
              <w:rPr>
                <w:rFonts w:cs="Arial"/>
                <w:sz w:val="22"/>
                <w:szCs w:val="22"/>
              </w:rPr>
              <w:t>2</w:t>
            </w:r>
          </w:p>
        </w:tc>
        <w:tc>
          <w:tcPr>
            <w:tcW w:w="10322" w:type="dxa"/>
          </w:tcPr>
          <w:p w14:paraId="68C55C12" w14:textId="79DDE84C" w:rsidR="0059255B" w:rsidRDefault="005C4C21" w:rsidP="0059255B">
            <w:pPr>
              <w:rPr>
                <w:sz w:val="22"/>
                <w:szCs w:val="22"/>
              </w:rPr>
            </w:pPr>
            <w:r>
              <w:rPr>
                <w:sz w:val="22"/>
                <w:szCs w:val="22"/>
              </w:rPr>
              <w:t xml:space="preserve">The Service Lead Audit and Risk performs the Head of Audit role for South </w:t>
            </w:r>
            <w:proofErr w:type="spellStart"/>
            <w:r>
              <w:rPr>
                <w:sz w:val="22"/>
                <w:szCs w:val="22"/>
              </w:rPr>
              <w:t>Ribble</w:t>
            </w:r>
            <w:proofErr w:type="spellEnd"/>
            <w:r>
              <w:rPr>
                <w:sz w:val="22"/>
                <w:szCs w:val="22"/>
              </w:rPr>
              <w:t xml:space="preserve"> </w:t>
            </w:r>
            <w:r w:rsidR="00DB651A">
              <w:rPr>
                <w:sz w:val="22"/>
                <w:szCs w:val="22"/>
              </w:rPr>
              <w:t>Council</w:t>
            </w:r>
            <w:r w:rsidR="006E29B4">
              <w:rPr>
                <w:sz w:val="22"/>
                <w:szCs w:val="22"/>
              </w:rPr>
              <w:t xml:space="preserve"> and Shared Services.</w:t>
            </w:r>
          </w:p>
          <w:p w14:paraId="4A85B73D" w14:textId="6BE26EE6" w:rsidR="005C4C21" w:rsidRPr="002B20D0" w:rsidRDefault="005C4C21" w:rsidP="0059255B">
            <w:pPr>
              <w:rPr>
                <w:rFonts w:cs="Arial"/>
                <w:sz w:val="22"/>
                <w:szCs w:val="22"/>
              </w:rPr>
            </w:pPr>
          </w:p>
        </w:tc>
      </w:tr>
    </w:tbl>
    <w:p w14:paraId="2E52BA41" w14:textId="77777777" w:rsidR="009F080C" w:rsidRPr="00C66995" w:rsidRDefault="009F080C" w:rsidP="005A5D55">
      <w:pPr>
        <w:jc w:val="both"/>
        <w:rPr>
          <w:rFonts w:cs="Arial"/>
          <w:szCs w:val="24"/>
        </w:rPr>
      </w:pPr>
    </w:p>
    <w:tbl>
      <w:tblPr>
        <w:tblStyle w:val="TableGrid"/>
        <w:tblW w:w="10661" w:type="dxa"/>
        <w:tblInd w:w="-1139" w:type="dxa"/>
        <w:tblLook w:val="04A0" w:firstRow="1" w:lastRow="0" w:firstColumn="1" w:lastColumn="0" w:noHBand="0" w:noVBand="1"/>
      </w:tblPr>
      <w:tblGrid>
        <w:gridCol w:w="339"/>
        <w:gridCol w:w="10470"/>
      </w:tblGrid>
      <w:tr w:rsidR="00C66995" w14:paraId="7AB81D2A" w14:textId="77777777" w:rsidTr="00A64F19">
        <w:tc>
          <w:tcPr>
            <w:tcW w:w="339" w:type="dxa"/>
            <w:shd w:val="clear" w:color="auto" w:fill="B8CCE4" w:themeFill="accent1" w:themeFillTint="66"/>
          </w:tcPr>
          <w:p w14:paraId="525CC916" w14:textId="77777777" w:rsidR="00C66995" w:rsidRDefault="00C66995" w:rsidP="008C039C">
            <w:pPr>
              <w:jc w:val="both"/>
              <w:rPr>
                <w:rFonts w:cs="Arial"/>
                <w:szCs w:val="24"/>
              </w:rPr>
            </w:pPr>
          </w:p>
        </w:tc>
        <w:tc>
          <w:tcPr>
            <w:tcW w:w="10322" w:type="dxa"/>
            <w:shd w:val="clear" w:color="auto" w:fill="B8CCE4" w:themeFill="accent1" w:themeFillTint="66"/>
          </w:tcPr>
          <w:p w14:paraId="4C9B3E76" w14:textId="437CB96F" w:rsidR="00C66995" w:rsidRPr="00C66995" w:rsidRDefault="005C4C21" w:rsidP="005C4C21">
            <w:pPr>
              <w:pStyle w:val="Heading2"/>
              <w:rPr>
                <w:rFonts w:cs="Arial"/>
                <w:b/>
                <w:szCs w:val="24"/>
              </w:rPr>
            </w:pPr>
            <w:r w:rsidRPr="005C4C21">
              <w:rPr>
                <w:rFonts w:ascii="Arial" w:hAnsi="Arial" w:cs="Arial"/>
                <w:b/>
                <w:bCs/>
                <w:color w:val="auto"/>
                <w:sz w:val="24"/>
                <w:szCs w:val="24"/>
              </w:rPr>
              <w:t>The Role of Internal Audit</w:t>
            </w:r>
            <w:r w:rsidR="0054289F">
              <w:rPr>
                <w:rFonts w:ascii="Arial" w:hAnsi="Arial" w:cs="Arial"/>
                <w:b/>
                <w:bCs/>
                <w:color w:val="auto"/>
                <w:sz w:val="24"/>
                <w:szCs w:val="24"/>
              </w:rPr>
              <w:t xml:space="preserve"> and Management</w:t>
            </w:r>
          </w:p>
        </w:tc>
      </w:tr>
      <w:tr w:rsidR="0059255B" w14:paraId="1EFD4424" w14:textId="77777777" w:rsidTr="00D872F7">
        <w:tc>
          <w:tcPr>
            <w:tcW w:w="339" w:type="dxa"/>
          </w:tcPr>
          <w:p w14:paraId="0443CE78" w14:textId="3DC81C2A" w:rsidR="0059255B" w:rsidRPr="00835CA3" w:rsidRDefault="0059255B" w:rsidP="0059255B">
            <w:pPr>
              <w:jc w:val="both"/>
              <w:rPr>
                <w:rFonts w:cs="Arial"/>
                <w:sz w:val="22"/>
                <w:szCs w:val="22"/>
              </w:rPr>
            </w:pPr>
            <w:r w:rsidRPr="00835CA3">
              <w:rPr>
                <w:rFonts w:cs="Arial"/>
                <w:sz w:val="22"/>
                <w:szCs w:val="22"/>
              </w:rPr>
              <w:t>3</w:t>
            </w:r>
          </w:p>
        </w:tc>
        <w:tc>
          <w:tcPr>
            <w:tcW w:w="10322" w:type="dxa"/>
          </w:tcPr>
          <w:p w14:paraId="7E29B4D4" w14:textId="77777777" w:rsidR="0059255B" w:rsidRDefault="005C4C21" w:rsidP="006F370C">
            <w:pPr>
              <w:pBdr>
                <w:top w:val="single" w:sz="2" w:space="1" w:color="FFFFFF"/>
                <w:left w:val="single" w:sz="2" w:space="0" w:color="FFFFFF"/>
                <w:bottom w:val="single" w:sz="2" w:space="2" w:color="FFFFFF"/>
                <w:right w:val="single" w:sz="2" w:space="4" w:color="FFFFFF"/>
              </w:pBdr>
              <w:spacing w:after="160" w:line="259" w:lineRule="auto"/>
              <w:ind w:right="141"/>
              <w:contextualSpacing/>
              <w:rPr>
                <w:rFonts w:cs="Arial"/>
                <w:sz w:val="22"/>
                <w:szCs w:val="22"/>
              </w:rPr>
            </w:pPr>
            <w:r>
              <w:rPr>
                <w:rFonts w:cs="Arial"/>
                <w:sz w:val="22"/>
                <w:szCs w:val="22"/>
              </w:rPr>
              <w:t xml:space="preserve">The statutory basis for Internal Audit in local government is the Accounts and Audit (England) Regulations 2015.  Internal Audit work is also governed by the PSIAS </w:t>
            </w:r>
            <w:r w:rsidR="0054289F">
              <w:rPr>
                <w:rFonts w:cs="Arial"/>
                <w:sz w:val="22"/>
                <w:szCs w:val="22"/>
              </w:rPr>
              <w:t>whose definition of internal audit is:</w:t>
            </w:r>
          </w:p>
          <w:p w14:paraId="443EDAD5" w14:textId="77777777" w:rsidR="0054289F" w:rsidRDefault="0054289F" w:rsidP="005C4C21">
            <w:pPr>
              <w:pBdr>
                <w:top w:val="single" w:sz="2" w:space="1" w:color="FFFFFF"/>
                <w:left w:val="single" w:sz="2" w:space="0" w:color="FFFFFF"/>
                <w:bottom w:val="single" w:sz="2" w:space="2" w:color="FFFFFF"/>
                <w:right w:val="single" w:sz="2" w:space="4" w:color="FFFFFF"/>
              </w:pBdr>
              <w:spacing w:after="160" w:line="259" w:lineRule="auto"/>
              <w:ind w:left="142" w:right="141"/>
              <w:contextualSpacing/>
              <w:rPr>
                <w:rFonts w:cs="Arial"/>
                <w:sz w:val="22"/>
                <w:szCs w:val="22"/>
              </w:rPr>
            </w:pPr>
          </w:p>
          <w:p w14:paraId="400F51EE" w14:textId="77777777" w:rsidR="0054289F" w:rsidRDefault="0054289F" w:rsidP="005C4C21">
            <w:pPr>
              <w:pBdr>
                <w:top w:val="single" w:sz="2" w:space="1" w:color="FFFFFF"/>
                <w:left w:val="single" w:sz="2" w:space="0" w:color="FFFFFF"/>
                <w:bottom w:val="single" w:sz="2" w:space="2" w:color="FFFFFF"/>
                <w:right w:val="single" w:sz="2" w:space="4" w:color="FFFFFF"/>
              </w:pBdr>
              <w:spacing w:after="160" w:line="259" w:lineRule="auto"/>
              <w:ind w:left="142" w:right="141"/>
              <w:contextualSpacing/>
              <w:rPr>
                <w:i/>
                <w:iCs/>
                <w:sz w:val="23"/>
                <w:szCs w:val="23"/>
              </w:rPr>
            </w:pPr>
            <w:r>
              <w:rPr>
                <w:i/>
                <w:iCs/>
                <w:sz w:val="23"/>
                <w:szCs w:val="23"/>
              </w:rPr>
              <w:t>“Internal Audit is 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w:t>
            </w:r>
          </w:p>
          <w:p w14:paraId="38548EF6" w14:textId="7A739B07" w:rsidR="0054289F" w:rsidRPr="002B20D0" w:rsidRDefault="0054289F" w:rsidP="005C4C21">
            <w:pPr>
              <w:pBdr>
                <w:top w:val="single" w:sz="2" w:space="1" w:color="FFFFFF"/>
                <w:left w:val="single" w:sz="2" w:space="0" w:color="FFFFFF"/>
                <w:bottom w:val="single" w:sz="2" w:space="2" w:color="FFFFFF"/>
                <w:right w:val="single" w:sz="2" w:space="4" w:color="FFFFFF"/>
              </w:pBdr>
              <w:spacing w:after="160" w:line="259" w:lineRule="auto"/>
              <w:ind w:left="142" w:right="141"/>
              <w:contextualSpacing/>
              <w:rPr>
                <w:rFonts w:cs="Arial"/>
                <w:sz w:val="22"/>
                <w:szCs w:val="22"/>
              </w:rPr>
            </w:pPr>
          </w:p>
        </w:tc>
      </w:tr>
      <w:tr w:rsidR="0059255B" w14:paraId="650E3D19" w14:textId="77777777" w:rsidTr="00D872F7">
        <w:tc>
          <w:tcPr>
            <w:tcW w:w="339" w:type="dxa"/>
          </w:tcPr>
          <w:p w14:paraId="752BEB92" w14:textId="425B575E" w:rsidR="0059255B" w:rsidRPr="00835CA3" w:rsidRDefault="0059255B" w:rsidP="0059255B">
            <w:pPr>
              <w:jc w:val="both"/>
              <w:rPr>
                <w:rFonts w:cs="Arial"/>
                <w:sz w:val="22"/>
                <w:szCs w:val="22"/>
              </w:rPr>
            </w:pPr>
            <w:r w:rsidRPr="00835CA3">
              <w:rPr>
                <w:rFonts w:cs="Arial"/>
                <w:sz w:val="22"/>
                <w:szCs w:val="22"/>
              </w:rPr>
              <w:t>4</w:t>
            </w:r>
          </w:p>
        </w:tc>
        <w:tc>
          <w:tcPr>
            <w:tcW w:w="10322" w:type="dxa"/>
          </w:tcPr>
          <w:p w14:paraId="6B9AAED0" w14:textId="795EA0BA" w:rsidR="009D7395" w:rsidRDefault="0054289F" w:rsidP="0059255B">
            <w:pPr>
              <w:jc w:val="both"/>
              <w:rPr>
                <w:sz w:val="22"/>
                <w:szCs w:val="22"/>
              </w:rPr>
            </w:pPr>
            <w:r w:rsidRPr="0054289F">
              <w:rPr>
                <w:rFonts w:cs="Arial"/>
                <w:sz w:val="22"/>
                <w:szCs w:val="22"/>
              </w:rPr>
              <w:t xml:space="preserve">The </w:t>
            </w:r>
            <w:r w:rsidR="00DB651A">
              <w:rPr>
                <w:rFonts w:cs="Arial"/>
                <w:sz w:val="22"/>
                <w:szCs w:val="22"/>
              </w:rPr>
              <w:t>Council</w:t>
            </w:r>
            <w:r w:rsidRPr="0054289F">
              <w:rPr>
                <w:rFonts w:cs="Arial"/>
                <w:sz w:val="22"/>
                <w:szCs w:val="22"/>
              </w:rPr>
              <w:t xml:space="preserve"> has adopted a three line of defence model in which t</w:t>
            </w:r>
            <w:r w:rsidRPr="0054289F">
              <w:rPr>
                <w:sz w:val="22"/>
                <w:szCs w:val="22"/>
              </w:rPr>
              <w:t xml:space="preserve">he responsibility </w:t>
            </w:r>
            <w:r w:rsidRPr="005C4C21">
              <w:rPr>
                <w:sz w:val="22"/>
                <w:szCs w:val="22"/>
              </w:rPr>
              <w:t xml:space="preserve">for implementing a strong system of governance and internal control within the </w:t>
            </w:r>
            <w:r w:rsidR="00DB651A">
              <w:rPr>
                <w:sz w:val="22"/>
                <w:szCs w:val="22"/>
              </w:rPr>
              <w:t>Council</w:t>
            </w:r>
            <w:r w:rsidRPr="005C4C21">
              <w:rPr>
                <w:sz w:val="22"/>
                <w:szCs w:val="22"/>
              </w:rPr>
              <w:t xml:space="preserve"> lies primarily with the Shared Senior Management Team. </w:t>
            </w:r>
          </w:p>
          <w:p w14:paraId="0935B151" w14:textId="77777777" w:rsidR="009D7395" w:rsidRDefault="009D7395" w:rsidP="0059255B">
            <w:pPr>
              <w:jc w:val="both"/>
              <w:rPr>
                <w:sz w:val="22"/>
                <w:szCs w:val="22"/>
              </w:rPr>
            </w:pPr>
          </w:p>
          <w:p w14:paraId="1012F5DB" w14:textId="2FEF155B" w:rsidR="0054289F" w:rsidRDefault="0054289F" w:rsidP="0059255B">
            <w:pPr>
              <w:jc w:val="both"/>
              <w:rPr>
                <w:sz w:val="22"/>
                <w:szCs w:val="22"/>
              </w:rPr>
            </w:pPr>
            <w:r w:rsidRPr="005C4C21">
              <w:rPr>
                <w:sz w:val="22"/>
                <w:szCs w:val="22"/>
              </w:rPr>
              <w:t>Directors and Service Leads</w:t>
            </w:r>
            <w:r w:rsidR="009D7395">
              <w:rPr>
                <w:sz w:val="22"/>
                <w:szCs w:val="22"/>
              </w:rPr>
              <w:t xml:space="preserve"> provide the first line of defence as they </w:t>
            </w:r>
            <w:r w:rsidRPr="005C4C21">
              <w:rPr>
                <w:sz w:val="22"/>
                <w:szCs w:val="22"/>
              </w:rPr>
              <w:t>need to ensure that they maintain effective control procedures not least because services and business systems are subject to on-going change</w:t>
            </w:r>
            <w:r>
              <w:rPr>
                <w:sz w:val="22"/>
                <w:szCs w:val="22"/>
              </w:rPr>
              <w:t>.  Compliance / support functions provide the second line of defence</w:t>
            </w:r>
            <w:r w:rsidR="009D7395">
              <w:rPr>
                <w:sz w:val="22"/>
                <w:szCs w:val="22"/>
              </w:rPr>
              <w:t xml:space="preserve">, with the third line being provided by </w:t>
            </w:r>
            <w:r>
              <w:rPr>
                <w:sz w:val="22"/>
                <w:szCs w:val="22"/>
              </w:rPr>
              <w:t>Internal Audit</w:t>
            </w:r>
            <w:r w:rsidR="009D7395">
              <w:rPr>
                <w:sz w:val="22"/>
                <w:szCs w:val="22"/>
              </w:rPr>
              <w:t xml:space="preserve"> and other inspection agencies.</w:t>
            </w:r>
          </w:p>
          <w:p w14:paraId="2430036B" w14:textId="77777777" w:rsidR="0054289F" w:rsidRDefault="0054289F" w:rsidP="0059255B">
            <w:pPr>
              <w:jc w:val="both"/>
              <w:rPr>
                <w:sz w:val="22"/>
                <w:szCs w:val="22"/>
              </w:rPr>
            </w:pPr>
          </w:p>
          <w:p w14:paraId="5F2113D4" w14:textId="04B0A005" w:rsidR="0054289F" w:rsidRDefault="0054289F" w:rsidP="0059255B">
            <w:pPr>
              <w:jc w:val="both"/>
              <w:rPr>
                <w:sz w:val="22"/>
                <w:szCs w:val="22"/>
              </w:rPr>
            </w:pPr>
            <w:r>
              <w:rPr>
                <w:sz w:val="22"/>
                <w:szCs w:val="22"/>
              </w:rPr>
              <w:t>Internal Audit do not repeat the work of the second line, rather it is considered during reviews to assess the level of reliability which can be placed upon it.</w:t>
            </w:r>
          </w:p>
          <w:p w14:paraId="30F93FB8" w14:textId="22E2BB82" w:rsidR="0054289F" w:rsidRPr="002B20D0" w:rsidRDefault="0054289F" w:rsidP="0059255B">
            <w:pPr>
              <w:jc w:val="both"/>
              <w:rPr>
                <w:rFonts w:cs="Arial"/>
                <w:color w:val="FF0000"/>
                <w:sz w:val="22"/>
                <w:szCs w:val="22"/>
              </w:rPr>
            </w:pPr>
          </w:p>
        </w:tc>
      </w:tr>
      <w:tr w:rsidR="0059255B" w14:paraId="2D04CFCF" w14:textId="77777777" w:rsidTr="00D872F7">
        <w:tc>
          <w:tcPr>
            <w:tcW w:w="339" w:type="dxa"/>
          </w:tcPr>
          <w:p w14:paraId="6E4ADE51" w14:textId="3439B662" w:rsidR="0059255B" w:rsidRPr="00835CA3" w:rsidRDefault="0059255B" w:rsidP="0059255B">
            <w:pPr>
              <w:jc w:val="both"/>
              <w:rPr>
                <w:rFonts w:cs="Arial"/>
                <w:sz w:val="22"/>
                <w:szCs w:val="22"/>
              </w:rPr>
            </w:pPr>
            <w:r w:rsidRPr="00835CA3">
              <w:rPr>
                <w:rFonts w:cs="Arial"/>
                <w:sz w:val="22"/>
                <w:szCs w:val="22"/>
              </w:rPr>
              <w:lastRenderedPageBreak/>
              <w:t>5</w:t>
            </w:r>
          </w:p>
        </w:tc>
        <w:tc>
          <w:tcPr>
            <w:tcW w:w="10322" w:type="dxa"/>
          </w:tcPr>
          <w:p w14:paraId="33FBA7FE" w14:textId="1D30D37C" w:rsidR="005C4C21" w:rsidRPr="005C4C21" w:rsidRDefault="005C4C21" w:rsidP="005C4C21">
            <w:pPr>
              <w:pBdr>
                <w:top w:val="single" w:sz="2" w:space="1" w:color="FFFFFF"/>
                <w:left w:val="single" w:sz="2" w:space="0" w:color="FFFFFF"/>
                <w:bottom w:val="single" w:sz="2" w:space="2" w:color="FFFFFF"/>
                <w:right w:val="single" w:sz="2" w:space="4" w:color="FFFFFF"/>
              </w:pBdr>
              <w:spacing w:after="160" w:line="259" w:lineRule="auto"/>
              <w:ind w:left="142" w:right="141"/>
              <w:contextualSpacing/>
              <w:rPr>
                <w:sz w:val="22"/>
                <w:szCs w:val="22"/>
              </w:rPr>
            </w:pPr>
            <w:r w:rsidRPr="005C4C21">
              <w:rPr>
                <w:sz w:val="22"/>
                <w:szCs w:val="22"/>
              </w:rPr>
              <w:t>.</w:t>
            </w:r>
            <w:r w:rsidR="0054289F">
              <w:rPr>
                <w:sz w:val="22"/>
                <w:szCs w:val="22"/>
              </w:rPr>
              <w:t xml:space="preserve"> </w:t>
            </w:r>
            <w:r w:rsidR="0054289F" w:rsidRPr="0054289F">
              <w:rPr>
                <w:noProof/>
                <w:sz w:val="22"/>
                <w:szCs w:val="22"/>
              </w:rPr>
              <w:drawing>
                <wp:inline distT="0" distB="0" distL="0" distR="0" wp14:anchorId="6F419E2F" wp14:editId="5E337154">
                  <wp:extent cx="6330950" cy="3441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0950" cy="3441700"/>
                          </a:xfrm>
                          <a:prstGeom prst="rect">
                            <a:avLst/>
                          </a:prstGeom>
                          <a:noFill/>
                          <a:ln>
                            <a:noFill/>
                          </a:ln>
                        </pic:spPr>
                      </pic:pic>
                    </a:graphicData>
                  </a:graphic>
                </wp:inline>
              </w:drawing>
            </w:r>
          </w:p>
          <w:p w14:paraId="493FBB64" w14:textId="1EAA95BB" w:rsidR="0059255B" w:rsidRPr="002B20D0" w:rsidRDefault="0059255B" w:rsidP="0059255B">
            <w:pPr>
              <w:rPr>
                <w:rFonts w:cs="Arial"/>
                <w:sz w:val="22"/>
                <w:szCs w:val="22"/>
              </w:rPr>
            </w:pPr>
          </w:p>
        </w:tc>
      </w:tr>
    </w:tbl>
    <w:p w14:paraId="334F8F7E" w14:textId="77777777" w:rsidR="00DB1F70" w:rsidRDefault="00DB1F70" w:rsidP="00C66995">
      <w:pPr>
        <w:pStyle w:val="ListParagraph"/>
        <w:rPr>
          <w:rFonts w:cs="Arial"/>
          <w:szCs w:val="24"/>
        </w:rPr>
      </w:pPr>
    </w:p>
    <w:tbl>
      <w:tblPr>
        <w:tblStyle w:val="TableGrid"/>
        <w:tblW w:w="10661" w:type="dxa"/>
        <w:tblInd w:w="-1139" w:type="dxa"/>
        <w:tblLook w:val="04A0" w:firstRow="1" w:lastRow="0" w:firstColumn="1" w:lastColumn="0" w:noHBand="0" w:noVBand="1"/>
      </w:tblPr>
      <w:tblGrid>
        <w:gridCol w:w="339"/>
        <w:gridCol w:w="10322"/>
      </w:tblGrid>
      <w:tr w:rsidR="005A4299" w:rsidRPr="00C66995" w14:paraId="3DC62A38" w14:textId="77777777" w:rsidTr="00A64F19">
        <w:tc>
          <w:tcPr>
            <w:tcW w:w="339" w:type="dxa"/>
            <w:shd w:val="clear" w:color="auto" w:fill="B8CCE4" w:themeFill="accent1" w:themeFillTint="66"/>
          </w:tcPr>
          <w:p w14:paraId="0B5AC72D" w14:textId="77777777" w:rsidR="005A4299" w:rsidRDefault="005A4299" w:rsidP="00F370A7">
            <w:pPr>
              <w:jc w:val="both"/>
              <w:rPr>
                <w:rFonts w:cs="Arial"/>
                <w:szCs w:val="24"/>
              </w:rPr>
            </w:pPr>
          </w:p>
        </w:tc>
        <w:tc>
          <w:tcPr>
            <w:tcW w:w="10322" w:type="dxa"/>
            <w:shd w:val="clear" w:color="auto" w:fill="B8CCE4" w:themeFill="accent1" w:themeFillTint="66"/>
          </w:tcPr>
          <w:p w14:paraId="3497C750" w14:textId="2EC944DF" w:rsidR="005A4299" w:rsidRPr="00C66995" w:rsidRDefault="00346D15" w:rsidP="00857F11">
            <w:pPr>
              <w:jc w:val="both"/>
              <w:rPr>
                <w:rFonts w:cs="Arial"/>
                <w:b/>
                <w:szCs w:val="24"/>
              </w:rPr>
            </w:pPr>
            <w:r>
              <w:rPr>
                <w:rFonts w:cs="Arial"/>
                <w:b/>
                <w:szCs w:val="24"/>
              </w:rPr>
              <w:t>Basis of the opinion</w:t>
            </w:r>
          </w:p>
        </w:tc>
      </w:tr>
      <w:tr w:rsidR="0059255B" w14:paraId="7ED74F3E" w14:textId="77777777" w:rsidTr="00BE632F">
        <w:tc>
          <w:tcPr>
            <w:tcW w:w="339" w:type="dxa"/>
          </w:tcPr>
          <w:p w14:paraId="764E7E3B" w14:textId="7AE51DB0" w:rsidR="0059255B" w:rsidRPr="00835CA3" w:rsidRDefault="0059255B" w:rsidP="0059255B">
            <w:pPr>
              <w:jc w:val="both"/>
              <w:rPr>
                <w:rFonts w:cs="Arial"/>
                <w:sz w:val="22"/>
                <w:szCs w:val="22"/>
              </w:rPr>
            </w:pPr>
            <w:r w:rsidRPr="00835CA3">
              <w:rPr>
                <w:rFonts w:cs="Arial"/>
                <w:sz w:val="22"/>
                <w:szCs w:val="22"/>
              </w:rPr>
              <w:t>6</w:t>
            </w:r>
          </w:p>
        </w:tc>
        <w:tc>
          <w:tcPr>
            <w:tcW w:w="10322" w:type="dxa"/>
          </w:tcPr>
          <w:p w14:paraId="2F1ECA5B" w14:textId="106F6D5B" w:rsidR="00102C22" w:rsidRPr="00102C22" w:rsidRDefault="00346D15" w:rsidP="0059255B">
            <w:pPr>
              <w:rPr>
                <w:sz w:val="22"/>
                <w:szCs w:val="22"/>
              </w:rPr>
            </w:pPr>
            <w:r w:rsidRPr="00102C22">
              <w:rPr>
                <w:sz w:val="22"/>
                <w:szCs w:val="22"/>
              </w:rPr>
              <w:t xml:space="preserve">The Service Lead Audit and Risk </w:t>
            </w:r>
            <w:r w:rsidR="006F370C">
              <w:rPr>
                <w:sz w:val="22"/>
                <w:szCs w:val="22"/>
              </w:rPr>
              <w:t>i</w:t>
            </w:r>
            <w:r w:rsidRPr="00102C22">
              <w:rPr>
                <w:sz w:val="22"/>
                <w:szCs w:val="22"/>
              </w:rPr>
              <w:t xml:space="preserve">s responsible for the delivery of an annual audit opinion and report that can be used by the </w:t>
            </w:r>
            <w:r w:rsidR="00DB651A">
              <w:rPr>
                <w:sz w:val="22"/>
                <w:szCs w:val="22"/>
              </w:rPr>
              <w:t>Council</w:t>
            </w:r>
            <w:r w:rsidRPr="00102C22">
              <w:rPr>
                <w:sz w:val="22"/>
                <w:szCs w:val="22"/>
              </w:rPr>
              <w:t xml:space="preserve"> to inform its Annual Governance Statement. </w:t>
            </w:r>
          </w:p>
          <w:p w14:paraId="4FC1CF0A" w14:textId="77777777" w:rsidR="00102C22" w:rsidRPr="00102C22" w:rsidRDefault="00102C22" w:rsidP="0059255B">
            <w:pPr>
              <w:rPr>
                <w:sz w:val="22"/>
                <w:szCs w:val="22"/>
              </w:rPr>
            </w:pPr>
          </w:p>
          <w:p w14:paraId="261881AA" w14:textId="77777777" w:rsidR="00102C22" w:rsidRDefault="00346D15" w:rsidP="0059255B">
            <w:pPr>
              <w:rPr>
                <w:sz w:val="22"/>
                <w:szCs w:val="22"/>
              </w:rPr>
            </w:pPr>
            <w:r w:rsidRPr="00102C22">
              <w:rPr>
                <w:sz w:val="22"/>
                <w:szCs w:val="22"/>
              </w:rPr>
              <w:t xml:space="preserve">In assessing the level of assurance to be given, the opinion has been given based on: </w:t>
            </w:r>
          </w:p>
          <w:p w14:paraId="644458A3" w14:textId="77777777" w:rsidR="00102C22" w:rsidRDefault="00102C22" w:rsidP="0059255B">
            <w:pPr>
              <w:rPr>
                <w:sz w:val="22"/>
                <w:szCs w:val="22"/>
              </w:rPr>
            </w:pPr>
          </w:p>
          <w:p w14:paraId="64AD66C6" w14:textId="5673042C" w:rsidR="00102C22" w:rsidRDefault="00102C22" w:rsidP="0052571D">
            <w:pPr>
              <w:pStyle w:val="ListParagraph"/>
              <w:numPr>
                <w:ilvl w:val="0"/>
                <w:numId w:val="3"/>
              </w:numPr>
              <w:rPr>
                <w:sz w:val="22"/>
                <w:szCs w:val="22"/>
              </w:rPr>
            </w:pPr>
            <w:r>
              <w:rPr>
                <w:sz w:val="22"/>
                <w:szCs w:val="22"/>
              </w:rPr>
              <w:t>Reviews undertaken and reports included within the Internal Audit Annual Plan;</w:t>
            </w:r>
          </w:p>
          <w:p w14:paraId="123890DF" w14:textId="3C0598DA" w:rsidR="00102C22" w:rsidRDefault="00102C22" w:rsidP="0052571D">
            <w:pPr>
              <w:pStyle w:val="ListParagraph"/>
              <w:numPr>
                <w:ilvl w:val="0"/>
                <w:numId w:val="3"/>
              </w:numPr>
              <w:rPr>
                <w:sz w:val="22"/>
                <w:szCs w:val="22"/>
              </w:rPr>
            </w:pPr>
            <w:r>
              <w:rPr>
                <w:sz w:val="22"/>
                <w:szCs w:val="22"/>
              </w:rPr>
              <w:t>A</w:t>
            </w:r>
            <w:r w:rsidR="00346D15" w:rsidRPr="00102C22">
              <w:rPr>
                <w:sz w:val="22"/>
                <w:szCs w:val="22"/>
              </w:rPr>
              <w:t xml:space="preserve">dvice / consultancy work undertaken by the </w:t>
            </w:r>
            <w:r w:rsidR="009D7395">
              <w:rPr>
                <w:sz w:val="22"/>
                <w:szCs w:val="22"/>
              </w:rPr>
              <w:t>I</w:t>
            </w:r>
            <w:r w:rsidR="00346D15" w:rsidRPr="00102C22">
              <w:rPr>
                <w:sz w:val="22"/>
                <w:szCs w:val="22"/>
              </w:rPr>
              <w:t xml:space="preserve">nternal </w:t>
            </w:r>
            <w:r w:rsidR="009D7395">
              <w:rPr>
                <w:sz w:val="22"/>
                <w:szCs w:val="22"/>
              </w:rPr>
              <w:t>A</w:t>
            </w:r>
            <w:r w:rsidR="00346D15" w:rsidRPr="00102C22">
              <w:rPr>
                <w:sz w:val="22"/>
                <w:szCs w:val="22"/>
              </w:rPr>
              <w:t>udit team</w:t>
            </w:r>
            <w:r w:rsidR="006F370C">
              <w:rPr>
                <w:sz w:val="22"/>
                <w:szCs w:val="22"/>
              </w:rPr>
              <w:t>;</w:t>
            </w:r>
            <w:r w:rsidR="00346D15" w:rsidRPr="00102C22">
              <w:rPr>
                <w:sz w:val="22"/>
                <w:szCs w:val="22"/>
              </w:rPr>
              <w:t xml:space="preserve"> </w:t>
            </w:r>
          </w:p>
          <w:p w14:paraId="5407C357" w14:textId="0139F866" w:rsidR="00102C22" w:rsidRDefault="00346D15" w:rsidP="0052571D">
            <w:pPr>
              <w:pStyle w:val="ListParagraph"/>
              <w:numPr>
                <w:ilvl w:val="0"/>
                <w:numId w:val="3"/>
              </w:numPr>
              <w:rPr>
                <w:sz w:val="22"/>
                <w:szCs w:val="22"/>
              </w:rPr>
            </w:pPr>
            <w:r w:rsidRPr="00102C22">
              <w:rPr>
                <w:sz w:val="22"/>
                <w:szCs w:val="22"/>
              </w:rPr>
              <w:t xml:space="preserve">The implementation of </w:t>
            </w:r>
            <w:r w:rsidR="00102C22">
              <w:rPr>
                <w:sz w:val="22"/>
                <w:szCs w:val="22"/>
              </w:rPr>
              <w:t>agreed management actions</w:t>
            </w:r>
            <w:r w:rsidR="009D7395">
              <w:rPr>
                <w:sz w:val="22"/>
                <w:szCs w:val="22"/>
              </w:rPr>
              <w:t xml:space="preserve"> by Directorates;</w:t>
            </w:r>
            <w:r w:rsidRPr="00102C22">
              <w:rPr>
                <w:sz w:val="22"/>
                <w:szCs w:val="22"/>
              </w:rPr>
              <w:t xml:space="preserve"> </w:t>
            </w:r>
          </w:p>
          <w:p w14:paraId="2ADAE0B5" w14:textId="19921C65" w:rsidR="00102C22" w:rsidRDefault="00346D15" w:rsidP="0052571D">
            <w:pPr>
              <w:pStyle w:val="ListParagraph"/>
              <w:numPr>
                <w:ilvl w:val="0"/>
                <w:numId w:val="3"/>
              </w:numPr>
              <w:rPr>
                <w:sz w:val="22"/>
                <w:szCs w:val="22"/>
              </w:rPr>
            </w:pPr>
            <w:r w:rsidRPr="00102C22">
              <w:rPr>
                <w:sz w:val="22"/>
                <w:szCs w:val="22"/>
              </w:rPr>
              <w:t xml:space="preserve">The quality and performance of the </w:t>
            </w:r>
            <w:r w:rsidR="00B447C8">
              <w:rPr>
                <w:sz w:val="22"/>
                <w:szCs w:val="22"/>
              </w:rPr>
              <w:t>I</w:t>
            </w:r>
            <w:r w:rsidRPr="00102C22">
              <w:rPr>
                <w:sz w:val="22"/>
                <w:szCs w:val="22"/>
              </w:rPr>
              <w:t xml:space="preserve">nternal </w:t>
            </w:r>
            <w:r w:rsidR="00B447C8">
              <w:rPr>
                <w:sz w:val="22"/>
                <w:szCs w:val="22"/>
              </w:rPr>
              <w:t>A</w:t>
            </w:r>
            <w:r w:rsidRPr="00102C22">
              <w:rPr>
                <w:sz w:val="22"/>
                <w:szCs w:val="22"/>
              </w:rPr>
              <w:t>udit service and the extent to which it complies with the Public Sector Internal Audit Standards</w:t>
            </w:r>
            <w:r w:rsidR="006F370C">
              <w:rPr>
                <w:sz w:val="22"/>
                <w:szCs w:val="22"/>
              </w:rPr>
              <w:t xml:space="preserve"> and ISO 9001 Quality Management System;</w:t>
            </w:r>
          </w:p>
          <w:p w14:paraId="1876E9E2" w14:textId="6F734969" w:rsidR="002B20D0" w:rsidRDefault="006F370C" w:rsidP="0052571D">
            <w:pPr>
              <w:pStyle w:val="ListParagraph"/>
              <w:numPr>
                <w:ilvl w:val="0"/>
                <w:numId w:val="3"/>
              </w:numPr>
              <w:rPr>
                <w:sz w:val="22"/>
                <w:szCs w:val="22"/>
              </w:rPr>
            </w:pPr>
            <w:r>
              <w:rPr>
                <w:sz w:val="22"/>
                <w:szCs w:val="22"/>
              </w:rPr>
              <w:t>Other sources of assurance where appropriate;</w:t>
            </w:r>
          </w:p>
          <w:p w14:paraId="0F5F2B94" w14:textId="77777777" w:rsidR="003C6B46" w:rsidRPr="006F370C" w:rsidRDefault="00102C22" w:rsidP="0052571D">
            <w:pPr>
              <w:pStyle w:val="ListParagraph"/>
              <w:numPr>
                <w:ilvl w:val="0"/>
                <w:numId w:val="3"/>
              </w:numPr>
            </w:pPr>
            <w:r w:rsidRPr="006F370C">
              <w:rPr>
                <w:sz w:val="22"/>
                <w:szCs w:val="22"/>
              </w:rPr>
              <w:t xml:space="preserve">Analysis of the </w:t>
            </w:r>
            <w:r w:rsidR="006F370C" w:rsidRPr="006F370C">
              <w:rPr>
                <w:sz w:val="22"/>
                <w:szCs w:val="22"/>
              </w:rPr>
              <w:t xml:space="preserve">annual </w:t>
            </w:r>
            <w:r w:rsidRPr="006F370C">
              <w:rPr>
                <w:sz w:val="22"/>
                <w:szCs w:val="22"/>
              </w:rPr>
              <w:t>Service Assurance Statements.</w:t>
            </w:r>
          </w:p>
          <w:p w14:paraId="0904239F" w14:textId="0A2382D7" w:rsidR="006F370C" w:rsidRPr="0059255B" w:rsidRDefault="006F370C" w:rsidP="006F370C">
            <w:pPr>
              <w:pStyle w:val="ListParagraph"/>
              <w:ind w:left="1080"/>
            </w:pPr>
          </w:p>
        </w:tc>
      </w:tr>
      <w:tr w:rsidR="006F370C" w14:paraId="78461488" w14:textId="77777777" w:rsidTr="00BE632F">
        <w:tc>
          <w:tcPr>
            <w:tcW w:w="339" w:type="dxa"/>
          </w:tcPr>
          <w:p w14:paraId="760D6FBB" w14:textId="4713BDF7" w:rsidR="006F370C" w:rsidRPr="00835CA3" w:rsidRDefault="004F596C" w:rsidP="0059255B">
            <w:pPr>
              <w:jc w:val="both"/>
              <w:rPr>
                <w:rFonts w:cs="Arial"/>
                <w:sz w:val="22"/>
                <w:szCs w:val="22"/>
              </w:rPr>
            </w:pPr>
            <w:r>
              <w:rPr>
                <w:rFonts w:cs="Arial"/>
                <w:sz w:val="22"/>
                <w:szCs w:val="22"/>
              </w:rPr>
              <w:t>7</w:t>
            </w:r>
          </w:p>
        </w:tc>
        <w:tc>
          <w:tcPr>
            <w:tcW w:w="10322" w:type="dxa"/>
          </w:tcPr>
          <w:p w14:paraId="65AB9E73" w14:textId="77777777" w:rsidR="006F370C" w:rsidRDefault="006F370C" w:rsidP="0059255B">
            <w:pPr>
              <w:rPr>
                <w:sz w:val="22"/>
                <w:szCs w:val="22"/>
              </w:rPr>
            </w:pPr>
            <w:r w:rsidRPr="004F596C">
              <w:rPr>
                <w:sz w:val="22"/>
                <w:szCs w:val="22"/>
              </w:rPr>
              <w:t>In giving the opinion it should be noted that an assurance opinion cannot be absolute as it is based on only those elements of governance and controls reviewed</w:t>
            </w:r>
            <w:r w:rsidR="004F596C" w:rsidRPr="004F596C">
              <w:rPr>
                <w:sz w:val="22"/>
                <w:szCs w:val="22"/>
              </w:rPr>
              <w:t xml:space="preserve"> or </w:t>
            </w:r>
            <w:proofErr w:type="gramStart"/>
            <w:r w:rsidR="004F596C" w:rsidRPr="004F596C">
              <w:rPr>
                <w:sz w:val="22"/>
                <w:szCs w:val="22"/>
              </w:rPr>
              <w:t>taken into account</w:t>
            </w:r>
            <w:proofErr w:type="gramEnd"/>
            <w:r w:rsidR="004F596C" w:rsidRPr="004F596C">
              <w:rPr>
                <w:sz w:val="22"/>
                <w:szCs w:val="22"/>
              </w:rPr>
              <w:t xml:space="preserve"> as </w:t>
            </w:r>
            <w:r w:rsidR="00BE632F" w:rsidRPr="004F596C">
              <w:rPr>
                <w:sz w:val="22"/>
                <w:szCs w:val="22"/>
              </w:rPr>
              <w:t>a result</w:t>
            </w:r>
            <w:r w:rsidR="004F596C" w:rsidRPr="004F596C">
              <w:rPr>
                <w:sz w:val="22"/>
                <w:szCs w:val="22"/>
              </w:rPr>
              <w:t xml:space="preserve"> of any of the above activity.</w:t>
            </w:r>
          </w:p>
          <w:p w14:paraId="7C843DDC" w14:textId="27FB1043" w:rsidR="009D7395" w:rsidRPr="004F596C" w:rsidRDefault="009D7395" w:rsidP="0059255B">
            <w:pPr>
              <w:rPr>
                <w:sz w:val="22"/>
                <w:szCs w:val="22"/>
              </w:rPr>
            </w:pPr>
          </w:p>
        </w:tc>
      </w:tr>
    </w:tbl>
    <w:p w14:paraId="1AD68394" w14:textId="77777777" w:rsidR="00BF3F33" w:rsidRDefault="00BF3F33"/>
    <w:tbl>
      <w:tblPr>
        <w:tblStyle w:val="TableGrid"/>
        <w:tblW w:w="10661" w:type="dxa"/>
        <w:tblInd w:w="-1139" w:type="dxa"/>
        <w:tblLook w:val="04A0" w:firstRow="1" w:lastRow="0" w:firstColumn="1" w:lastColumn="0" w:noHBand="0" w:noVBand="1"/>
      </w:tblPr>
      <w:tblGrid>
        <w:gridCol w:w="339"/>
        <w:gridCol w:w="10322"/>
      </w:tblGrid>
      <w:tr w:rsidR="00BF3F33" w:rsidRPr="00C66995" w14:paraId="603C9C17" w14:textId="77777777" w:rsidTr="00A64F19">
        <w:tc>
          <w:tcPr>
            <w:tcW w:w="339" w:type="dxa"/>
            <w:shd w:val="clear" w:color="auto" w:fill="B8CCE4" w:themeFill="accent1" w:themeFillTint="66"/>
          </w:tcPr>
          <w:p w14:paraId="4711F508" w14:textId="77777777" w:rsidR="00BF3F33" w:rsidRDefault="00BF3F33" w:rsidP="00A57A16">
            <w:pPr>
              <w:jc w:val="both"/>
              <w:rPr>
                <w:rFonts w:cs="Arial"/>
                <w:szCs w:val="24"/>
              </w:rPr>
            </w:pPr>
          </w:p>
        </w:tc>
        <w:tc>
          <w:tcPr>
            <w:tcW w:w="10322" w:type="dxa"/>
            <w:shd w:val="clear" w:color="auto" w:fill="B8CCE4" w:themeFill="accent1" w:themeFillTint="66"/>
          </w:tcPr>
          <w:p w14:paraId="16F215D7" w14:textId="36B24185" w:rsidR="00BF3F33" w:rsidRPr="00C66995" w:rsidRDefault="00BF3F33" w:rsidP="00A57A16">
            <w:pPr>
              <w:jc w:val="both"/>
              <w:rPr>
                <w:rFonts w:cs="Arial"/>
                <w:b/>
                <w:szCs w:val="24"/>
              </w:rPr>
            </w:pPr>
            <w:r>
              <w:rPr>
                <w:rFonts w:cs="Arial"/>
                <w:b/>
                <w:szCs w:val="24"/>
              </w:rPr>
              <w:t xml:space="preserve">Scope and Objectives of Internal Audit </w:t>
            </w:r>
          </w:p>
        </w:tc>
      </w:tr>
      <w:tr w:rsidR="00BF3F33" w:rsidRPr="0059255B" w14:paraId="2EECC789" w14:textId="77777777" w:rsidTr="00A57A16">
        <w:tc>
          <w:tcPr>
            <w:tcW w:w="339" w:type="dxa"/>
          </w:tcPr>
          <w:p w14:paraId="103D0709" w14:textId="33E7D856" w:rsidR="00BF3F33" w:rsidRPr="00835CA3" w:rsidRDefault="00BF3F33" w:rsidP="00A57A16">
            <w:pPr>
              <w:jc w:val="both"/>
              <w:rPr>
                <w:rFonts w:cs="Arial"/>
                <w:sz w:val="22"/>
                <w:szCs w:val="22"/>
              </w:rPr>
            </w:pPr>
            <w:r>
              <w:rPr>
                <w:rFonts w:cs="Arial"/>
                <w:sz w:val="22"/>
                <w:szCs w:val="22"/>
              </w:rPr>
              <w:t>8</w:t>
            </w:r>
          </w:p>
        </w:tc>
        <w:tc>
          <w:tcPr>
            <w:tcW w:w="10322" w:type="dxa"/>
          </w:tcPr>
          <w:p w14:paraId="4756BBD6" w14:textId="77777777" w:rsidR="00BF3F33" w:rsidRPr="00BF3F33" w:rsidRDefault="00BF3F33" w:rsidP="00BF3F33">
            <w:pPr>
              <w:pStyle w:val="ListParagraph"/>
              <w:ind w:left="0"/>
              <w:rPr>
                <w:sz w:val="22"/>
                <w:szCs w:val="22"/>
              </w:rPr>
            </w:pPr>
            <w:r w:rsidRPr="00BF3F33">
              <w:rPr>
                <w:sz w:val="22"/>
                <w:szCs w:val="22"/>
              </w:rPr>
              <w:t>The scope and objectives of Internal Audit are set out in the Internal Audit Charter which was last approved by the Governance Committee in March 2022.</w:t>
            </w:r>
          </w:p>
          <w:p w14:paraId="6155AD78" w14:textId="108487B4" w:rsidR="00BF3F33" w:rsidRPr="00BF3F33" w:rsidRDefault="00BF3F33" w:rsidP="00BF3F33">
            <w:pPr>
              <w:pStyle w:val="ListParagraph"/>
              <w:ind w:left="0"/>
              <w:rPr>
                <w:sz w:val="22"/>
                <w:szCs w:val="22"/>
              </w:rPr>
            </w:pPr>
          </w:p>
        </w:tc>
      </w:tr>
      <w:tr w:rsidR="00BF3F33" w:rsidRPr="004F596C" w14:paraId="439734EF" w14:textId="77777777" w:rsidTr="00A57A16">
        <w:tc>
          <w:tcPr>
            <w:tcW w:w="339" w:type="dxa"/>
          </w:tcPr>
          <w:p w14:paraId="4CAF9EAC" w14:textId="5931B5B7" w:rsidR="00BF3F33" w:rsidRPr="00835CA3" w:rsidRDefault="00BF3F33" w:rsidP="00A57A16">
            <w:pPr>
              <w:jc w:val="both"/>
              <w:rPr>
                <w:rFonts w:cs="Arial"/>
                <w:sz w:val="22"/>
                <w:szCs w:val="22"/>
              </w:rPr>
            </w:pPr>
            <w:r>
              <w:rPr>
                <w:rFonts w:cs="Arial"/>
                <w:sz w:val="22"/>
                <w:szCs w:val="22"/>
              </w:rPr>
              <w:t>9</w:t>
            </w:r>
          </w:p>
        </w:tc>
        <w:tc>
          <w:tcPr>
            <w:tcW w:w="10322" w:type="dxa"/>
          </w:tcPr>
          <w:p w14:paraId="736D4FB1" w14:textId="58AEA07C" w:rsidR="00BF3F33" w:rsidRPr="00BF3F33" w:rsidRDefault="00BF3F33" w:rsidP="00BF3F33">
            <w:pPr>
              <w:rPr>
                <w:rFonts w:cs="Arial"/>
                <w:sz w:val="22"/>
                <w:szCs w:val="22"/>
              </w:rPr>
            </w:pPr>
            <w:r w:rsidRPr="00BF3F33">
              <w:rPr>
                <w:rFonts w:cs="Arial"/>
                <w:sz w:val="22"/>
                <w:szCs w:val="22"/>
              </w:rPr>
              <w:t xml:space="preserve">The Internal Audit Charter also sets out any </w:t>
            </w:r>
            <w:r w:rsidRPr="00BF3F33">
              <w:rPr>
                <w:rFonts w:cs="Arial"/>
                <w:color w:val="231F20"/>
                <w:sz w:val="22"/>
                <w:szCs w:val="22"/>
              </w:rPr>
              <w:t>impairments</w:t>
            </w:r>
            <w:r w:rsidRPr="00BF3F33">
              <w:rPr>
                <w:rFonts w:cs="Arial"/>
                <w:color w:val="231F20"/>
                <w:spacing w:val="15"/>
                <w:sz w:val="22"/>
                <w:szCs w:val="22"/>
              </w:rPr>
              <w:t xml:space="preserve"> </w:t>
            </w:r>
            <w:r w:rsidRPr="00BF3F33">
              <w:rPr>
                <w:rFonts w:cs="Arial"/>
                <w:color w:val="231F20"/>
                <w:sz w:val="22"/>
                <w:szCs w:val="22"/>
              </w:rPr>
              <w:t>or</w:t>
            </w:r>
            <w:r w:rsidRPr="00BF3F33">
              <w:rPr>
                <w:rFonts w:cs="Arial"/>
                <w:color w:val="231F20"/>
                <w:spacing w:val="14"/>
                <w:sz w:val="22"/>
                <w:szCs w:val="22"/>
              </w:rPr>
              <w:t xml:space="preserve"> </w:t>
            </w:r>
            <w:r w:rsidRPr="00BF3F33">
              <w:rPr>
                <w:rFonts w:cs="Arial"/>
                <w:color w:val="231F20"/>
                <w:spacing w:val="-2"/>
                <w:sz w:val="22"/>
                <w:szCs w:val="22"/>
              </w:rPr>
              <w:t>r</w:t>
            </w:r>
            <w:r w:rsidRPr="00BF3F33">
              <w:rPr>
                <w:rFonts w:cs="Arial"/>
                <w:color w:val="231F20"/>
                <w:spacing w:val="-1"/>
                <w:sz w:val="22"/>
                <w:szCs w:val="22"/>
              </w:rPr>
              <w:t>estriction</w:t>
            </w:r>
            <w:r w:rsidRPr="00BF3F33">
              <w:rPr>
                <w:rFonts w:cs="Arial"/>
                <w:color w:val="231F20"/>
                <w:spacing w:val="15"/>
                <w:sz w:val="22"/>
                <w:szCs w:val="22"/>
              </w:rPr>
              <w:t xml:space="preserve"> </w:t>
            </w:r>
            <w:r w:rsidRPr="00BF3F33">
              <w:rPr>
                <w:rFonts w:cs="Arial"/>
                <w:color w:val="231F20"/>
                <w:sz w:val="22"/>
                <w:szCs w:val="22"/>
              </w:rPr>
              <w:t>in</w:t>
            </w:r>
            <w:r w:rsidRPr="00BF3F33">
              <w:rPr>
                <w:rFonts w:cs="Arial"/>
                <w:color w:val="231F20"/>
                <w:spacing w:val="15"/>
                <w:sz w:val="22"/>
                <w:szCs w:val="22"/>
              </w:rPr>
              <w:t xml:space="preserve"> </w:t>
            </w:r>
            <w:r w:rsidRPr="00BF3F33">
              <w:rPr>
                <w:rFonts w:cs="Arial"/>
                <w:color w:val="231F20"/>
                <w:sz w:val="22"/>
                <w:szCs w:val="22"/>
              </w:rPr>
              <w:t xml:space="preserve">scope for Internal Audit as </w:t>
            </w:r>
            <w:r>
              <w:rPr>
                <w:rFonts w:cs="Arial"/>
                <w:color w:val="231F20"/>
                <w:sz w:val="22"/>
                <w:szCs w:val="22"/>
              </w:rPr>
              <w:t>“</w:t>
            </w:r>
            <w:r w:rsidRPr="00BF3F33">
              <w:rPr>
                <w:rFonts w:cs="Arial"/>
                <w:i/>
                <w:iCs/>
                <w:sz w:val="22"/>
                <w:szCs w:val="22"/>
              </w:rPr>
              <w:t xml:space="preserve">The Service Lead for Audit and Risk </w:t>
            </w:r>
            <w:r w:rsidRPr="00BF3F33">
              <w:rPr>
                <w:rFonts w:eastAsiaTheme="minorEastAsia" w:cs="Arial"/>
                <w:i/>
                <w:iCs/>
                <w:sz w:val="22"/>
                <w:szCs w:val="22"/>
              </w:rPr>
              <w:t>is also operationally responsible for Insurance, Business Continuity, Emergency Planning and Health and Safety functions and for the administration and development of,</w:t>
            </w:r>
            <w:r w:rsidRPr="00BF3F33">
              <w:rPr>
                <w:rFonts w:cs="Arial"/>
                <w:i/>
                <w:iCs/>
                <w:sz w:val="22"/>
                <w:szCs w:val="22"/>
              </w:rPr>
              <w:t xml:space="preserve"> </w:t>
            </w:r>
            <w:r w:rsidRPr="00BF3F33">
              <w:rPr>
                <w:rFonts w:eastAsiaTheme="minorEastAsia" w:cs="Arial"/>
                <w:i/>
                <w:iCs/>
                <w:sz w:val="22"/>
                <w:szCs w:val="22"/>
              </w:rPr>
              <w:t>and reporting on, the  Risk Management Strategy. It is considered prudent that any internal audit</w:t>
            </w:r>
            <w:r w:rsidRPr="00BF3F33">
              <w:rPr>
                <w:rFonts w:cs="Arial"/>
                <w:i/>
                <w:iCs/>
                <w:sz w:val="22"/>
                <w:szCs w:val="22"/>
              </w:rPr>
              <w:t xml:space="preserve"> </w:t>
            </w:r>
            <w:r w:rsidRPr="00BF3F33">
              <w:rPr>
                <w:rFonts w:eastAsiaTheme="minorEastAsia" w:cs="Arial"/>
                <w:i/>
                <w:iCs/>
                <w:sz w:val="22"/>
                <w:szCs w:val="22"/>
              </w:rPr>
              <w:t>engagement covering the above operational areas and the risk management framework, especially for the</w:t>
            </w:r>
            <w:r w:rsidRPr="00BF3F33">
              <w:rPr>
                <w:rFonts w:cs="Arial"/>
                <w:i/>
                <w:iCs/>
                <w:sz w:val="22"/>
                <w:szCs w:val="22"/>
              </w:rPr>
              <w:t xml:space="preserve"> </w:t>
            </w:r>
            <w:r w:rsidRPr="00BF3F33">
              <w:rPr>
                <w:rFonts w:eastAsiaTheme="minorEastAsia" w:cs="Arial"/>
                <w:i/>
                <w:iCs/>
                <w:sz w:val="22"/>
                <w:szCs w:val="22"/>
              </w:rPr>
              <w:t>formation of the annual opinion on the effectiveness of the control</w:t>
            </w:r>
            <w:r w:rsidRPr="00BF3F33">
              <w:rPr>
                <w:rFonts w:cs="Arial"/>
                <w:i/>
                <w:iCs/>
                <w:sz w:val="22"/>
                <w:szCs w:val="22"/>
              </w:rPr>
              <w:t xml:space="preserve"> </w:t>
            </w:r>
            <w:r w:rsidRPr="00BF3F33">
              <w:rPr>
                <w:rFonts w:eastAsiaTheme="minorEastAsia" w:cs="Arial"/>
                <w:i/>
                <w:iCs/>
                <w:sz w:val="22"/>
                <w:szCs w:val="22"/>
              </w:rPr>
              <w:t xml:space="preserve">environment, would be overseen by the </w:t>
            </w:r>
            <w:r w:rsidR="00DB651A">
              <w:rPr>
                <w:rFonts w:eastAsiaTheme="minorEastAsia" w:cs="Arial"/>
                <w:i/>
                <w:iCs/>
                <w:sz w:val="22"/>
                <w:szCs w:val="22"/>
              </w:rPr>
              <w:t>Council</w:t>
            </w:r>
            <w:r w:rsidRPr="00BF3F33">
              <w:rPr>
                <w:rFonts w:eastAsiaTheme="minorEastAsia" w:cs="Arial"/>
                <w:i/>
                <w:iCs/>
                <w:sz w:val="22"/>
                <w:szCs w:val="22"/>
              </w:rPr>
              <w:t>’s Monitoring Officer</w:t>
            </w:r>
            <w:r>
              <w:rPr>
                <w:rFonts w:eastAsiaTheme="minorEastAsia" w:cs="Arial"/>
                <w:i/>
                <w:iCs/>
                <w:sz w:val="22"/>
                <w:szCs w:val="22"/>
              </w:rPr>
              <w:t>”</w:t>
            </w:r>
          </w:p>
        </w:tc>
      </w:tr>
      <w:tr w:rsidR="00BF3F33" w:rsidRPr="004F596C" w14:paraId="19296BE2" w14:textId="77777777" w:rsidTr="00A57A16">
        <w:tc>
          <w:tcPr>
            <w:tcW w:w="339" w:type="dxa"/>
          </w:tcPr>
          <w:p w14:paraId="35217B2F" w14:textId="77777777" w:rsidR="00BF3F33" w:rsidRDefault="00BF3F33" w:rsidP="00A57A16">
            <w:pPr>
              <w:jc w:val="both"/>
              <w:rPr>
                <w:rFonts w:cs="Arial"/>
                <w:sz w:val="22"/>
                <w:szCs w:val="22"/>
              </w:rPr>
            </w:pPr>
          </w:p>
        </w:tc>
        <w:tc>
          <w:tcPr>
            <w:tcW w:w="10322" w:type="dxa"/>
          </w:tcPr>
          <w:p w14:paraId="1BA62A80" w14:textId="30D4833C" w:rsidR="00BF3F33" w:rsidRDefault="00BF3F33" w:rsidP="00BF3F33">
            <w:pPr>
              <w:rPr>
                <w:rFonts w:cs="Arial"/>
                <w:sz w:val="22"/>
                <w:szCs w:val="22"/>
              </w:rPr>
            </w:pPr>
            <w:r>
              <w:rPr>
                <w:rFonts w:cs="Arial"/>
                <w:sz w:val="22"/>
                <w:szCs w:val="22"/>
              </w:rPr>
              <w:t xml:space="preserve">A review of the risk management arrangements was undertaken during 2021-22, however </w:t>
            </w:r>
            <w:r w:rsidR="00DB651A">
              <w:rPr>
                <w:rFonts w:cs="Arial"/>
                <w:sz w:val="22"/>
                <w:szCs w:val="22"/>
              </w:rPr>
              <w:t>due to the operational responsibility detailed above, t</w:t>
            </w:r>
            <w:r>
              <w:rPr>
                <w:rFonts w:cs="Arial"/>
                <w:sz w:val="22"/>
                <w:szCs w:val="22"/>
              </w:rPr>
              <w:t>his was carried out by an independent third party.</w:t>
            </w:r>
          </w:p>
          <w:p w14:paraId="607F92A3" w14:textId="109ABF36" w:rsidR="00BF3F33" w:rsidRPr="00BF3F33" w:rsidRDefault="00BF3F33" w:rsidP="00BF3F33">
            <w:pPr>
              <w:rPr>
                <w:rFonts w:cs="Arial"/>
                <w:sz w:val="22"/>
                <w:szCs w:val="22"/>
              </w:rPr>
            </w:pPr>
          </w:p>
        </w:tc>
      </w:tr>
    </w:tbl>
    <w:p w14:paraId="6F885737" w14:textId="77777777" w:rsidR="00BF3F33" w:rsidRDefault="00BF3F33"/>
    <w:tbl>
      <w:tblPr>
        <w:tblStyle w:val="TableGrid"/>
        <w:tblW w:w="10661" w:type="dxa"/>
        <w:tblInd w:w="-1139" w:type="dxa"/>
        <w:tblLook w:val="04A0" w:firstRow="1" w:lastRow="0" w:firstColumn="1" w:lastColumn="0" w:noHBand="0" w:noVBand="1"/>
      </w:tblPr>
      <w:tblGrid>
        <w:gridCol w:w="461"/>
        <w:gridCol w:w="10200"/>
      </w:tblGrid>
      <w:tr w:rsidR="00BE632F" w:rsidRPr="00C66995" w14:paraId="5773B613" w14:textId="77777777" w:rsidTr="00A64F19">
        <w:tc>
          <w:tcPr>
            <w:tcW w:w="339" w:type="dxa"/>
            <w:shd w:val="clear" w:color="auto" w:fill="B8CCE4" w:themeFill="accent1" w:themeFillTint="66"/>
          </w:tcPr>
          <w:p w14:paraId="49707F01" w14:textId="77777777" w:rsidR="00BE632F" w:rsidRDefault="00BE632F" w:rsidP="00B11059">
            <w:pPr>
              <w:jc w:val="both"/>
              <w:rPr>
                <w:rFonts w:cs="Arial"/>
                <w:szCs w:val="24"/>
              </w:rPr>
            </w:pPr>
          </w:p>
        </w:tc>
        <w:tc>
          <w:tcPr>
            <w:tcW w:w="10322" w:type="dxa"/>
            <w:shd w:val="clear" w:color="auto" w:fill="B8CCE4" w:themeFill="accent1" w:themeFillTint="66"/>
          </w:tcPr>
          <w:p w14:paraId="7BC53448" w14:textId="56CDB816" w:rsidR="00BE632F" w:rsidRPr="00C66995" w:rsidRDefault="00BE632F" w:rsidP="00B11059">
            <w:pPr>
              <w:jc w:val="both"/>
              <w:rPr>
                <w:rFonts w:cs="Arial"/>
                <w:b/>
                <w:szCs w:val="24"/>
              </w:rPr>
            </w:pPr>
            <w:r>
              <w:rPr>
                <w:rFonts w:cs="Arial"/>
                <w:b/>
                <w:szCs w:val="24"/>
              </w:rPr>
              <w:t>Audit Coverage for 2021/22</w:t>
            </w:r>
          </w:p>
        </w:tc>
      </w:tr>
      <w:tr w:rsidR="00BE632F" w:rsidRPr="0059255B" w14:paraId="1B7D0D05" w14:textId="77777777" w:rsidTr="004678F9">
        <w:tc>
          <w:tcPr>
            <w:tcW w:w="339" w:type="dxa"/>
          </w:tcPr>
          <w:p w14:paraId="2CD3082D" w14:textId="37DAF111" w:rsidR="00BE632F" w:rsidRDefault="00BF3F33" w:rsidP="00B11059">
            <w:pPr>
              <w:jc w:val="both"/>
              <w:rPr>
                <w:rFonts w:cs="Arial"/>
                <w:sz w:val="22"/>
                <w:szCs w:val="22"/>
              </w:rPr>
            </w:pPr>
            <w:r>
              <w:rPr>
                <w:rFonts w:cs="Arial"/>
                <w:sz w:val="22"/>
                <w:szCs w:val="22"/>
              </w:rPr>
              <w:t>10</w:t>
            </w:r>
          </w:p>
          <w:p w14:paraId="0D1CE3ED" w14:textId="5A208674" w:rsidR="00BE632F" w:rsidRPr="00835CA3" w:rsidRDefault="00BE632F" w:rsidP="00B11059">
            <w:pPr>
              <w:jc w:val="both"/>
              <w:rPr>
                <w:rFonts w:cs="Arial"/>
                <w:sz w:val="22"/>
                <w:szCs w:val="22"/>
              </w:rPr>
            </w:pPr>
          </w:p>
        </w:tc>
        <w:tc>
          <w:tcPr>
            <w:tcW w:w="10322" w:type="dxa"/>
          </w:tcPr>
          <w:p w14:paraId="4AB69936" w14:textId="58620666" w:rsidR="00BE632F" w:rsidRPr="004678F9" w:rsidRDefault="00157467" w:rsidP="00BE632F">
            <w:pPr>
              <w:rPr>
                <w:sz w:val="22"/>
                <w:szCs w:val="22"/>
              </w:rPr>
            </w:pPr>
            <w:r w:rsidRPr="004678F9">
              <w:rPr>
                <w:sz w:val="22"/>
                <w:szCs w:val="22"/>
              </w:rPr>
              <w:t xml:space="preserve">The annual Internal Audit Plan for </w:t>
            </w:r>
            <w:r w:rsidR="009D7395">
              <w:rPr>
                <w:sz w:val="22"/>
                <w:szCs w:val="22"/>
              </w:rPr>
              <w:t>20</w:t>
            </w:r>
            <w:r w:rsidRPr="004678F9">
              <w:rPr>
                <w:sz w:val="22"/>
                <w:szCs w:val="22"/>
              </w:rPr>
              <w:t>21</w:t>
            </w:r>
            <w:r w:rsidR="009D7395">
              <w:rPr>
                <w:sz w:val="22"/>
                <w:szCs w:val="22"/>
              </w:rPr>
              <w:t>-20</w:t>
            </w:r>
            <w:r w:rsidRPr="004678F9">
              <w:rPr>
                <w:sz w:val="22"/>
                <w:szCs w:val="22"/>
              </w:rPr>
              <w:t xml:space="preserve">22 was approved by the Shared Senior Management Team and the Governance Committee in March 2021.  In order to provide an opinion, coverage of the whole authority should be obtained.   This Plan contained a total of </w:t>
            </w:r>
            <w:r w:rsidR="004678F9" w:rsidRPr="004678F9">
              <w:rPr>
                <w:sz w:val="22"/>
                <w:szCs w:val="22"/>
              </w:rPr>
              <w:t>27 audit reviews.</w:t>
            </w:r>
          </w:p>
          <w:p w14:paraId="70CA49C5" w14:textId="77777777" w:rsidR="00BE632F" w:rsidRPr="0059255B" w:rsidRDefault="00BE632F" w:rsidP="00B11059">
            <w:pPr>
              <w:pStyle w:val="ListParagraph"/>
              <w:ind w:left="1080"/>
            </w:pPr>
          </w:p>
        </w:tc>
      </w:tr>
      <w:tr w:rsidR="00BE632F" w:rsidRPr="004F596C" w14:paraId="7D9F296B" w14:textId="77777777" w:rsidTr="004678F9">
        <w:tc>
          <w:tcPr>
            <w:tcW w:w="339" w:type="dxa"/>
          </w:tcPr>
          <w:p w14:paraId="2769356F" w14:textId="1E2C4A63" w:rsidR="00BE632F" w:rsidRPr="00835CA3" w:rsidRDefault="00BF3F33" w:rsidP="00B11059">
            <w:pPr>
              <w:jc w:val="both"/>
              <w:rPr>
                <w:rFonts w:cs="Arial"/>
                <w:sz w:val="22"/>
                <w:szCs w:val="22"/>
              </w:rPr>
            </w:pPr>
            <w:r>
              <w:rPr>
                <w:rFonts w:cs="Arial"/>
                <w:sz w:val="22"/>
                <w:szCs w:val="22"/>
              </w:rPr>
              <w:t>11</w:t>
            </w:r>
          </w:p>
        </w:tc>
        <w:tc>
          <w:tcPr>
            <w:tcW w:w="10322" w:type="dxa"/>
          </w:tcPr>
          <w:p w14:paraId="66D5203D" w14:textId="77777777" w:rsidR="004678F9" w:rsidRDefault="004678F9" w:rsidP="004678F9">
            <w:pPr>
              <w:rPr>
                <w:sz w:val="22"/>
                <w:szCs w:val="22"/>
              </w:rPr>
            </w:pPr>
            <w:r>
              <w:rPr>
                <w:sz w:val="22"/>
                <w:szCs w:val="22"/>
              </w:rPr>
              <w:t>In January 2022, the Governance Committee approved the deferral of 4 reviews due to the limitations of resource, meaning that the planned coverage of work, by Directorate for the audit plan was as follows:</w:t>
            </w:r>
          </w:p>
          <w:p w14:paraId="2CDF2A39" w14:textId="77777777" w:rsidR="004678F9" w:rsidRDefault="004678F9" w:rsidP="004678F9">
            <w:pPr>
              <w:rPr>
                <w:sz w:val="22"/>
                <w:szCs w:val="22"/>
              </w:rPr>
            </w:pPr>
          </w:p>
          <w:p w14:paraId="0A33BB25" w14:textId="1942A5CB" w:rsidR="004678F9" w:rsidRPr="004F596C" w:rsidRDefault="004678F9" w:rsidP="004678F9">
            <w:pPr>
              <w:rPr>
                <w:sz w:val="22"/>
                <w:szCs w:val="22"/>
              </w:rPr>
            </w:pPr>
          </w:p>
        </w:tc>
      </w:tr>
    </w:tbl>
    <w:p w14:paraId="7140888B" w14:textId="4168EC5D" w:rsidR="004678F9" w:rsidRDefault="004678F9"/>
    <w:tbl>
      <w:tblPr>
        <w:tblStyle w:val="TableGrid"/>
        <w:tblW w:w="10661" w:type="dxa"/>
        <w:tblInd w:w="-1139" w:type="dxa"/>
        <w:tblLook w:val="04A0" w:firstRow="1" w:lastRow="0" w:firstColumn="1" w:lastColumn="0" w:noHBand="0" w:noVBand="1"/>
      </w:tblPr>
      <w:tblGrid>
        <w:gridCol w:w="339"/>
        <w:gridCol w:w="10322"/>
      </w:tblGrid>
      <w:tr w:rsidR="004678F9" w:rsidRPr="004F596C" w14:paraId="45F5A571" w14:textId="77777777" w:rsidTr="004678F9">
        <w:tc>
          <w:tcPr>
            <w:tcW w:w="339" w:type="dxa"/>
          </w:tcPr>
          <w:p w14:paraId="0DCB3A67" w14:textId="77777777" w:rsidR="004678F9" w:rsidRDefault="004678F9" w:rsidP="00B11059">
            <w:pPr>
              <w:jc w:val="both"/>
              <w:rPr>
                <w:rFonts w:cs="Arial"/>
                <w:sz w:val="22"/>
                <w:szCs w:val="22"/>
              </w:rPr>
            </w:pPr>
          </w:p>
        </w:tc>
        <w:tc>
          <w:tcPr>
            <w:tcW w:w="10322" w:type="dxa"/>
          </w:tcPr>
          <w:p w14:paraId="43439E4E" w14:textId="3AF2EAE7" w:rsidR="004678F9" w:rsidRDefault="004678F9" w:rsidP="00B11059">
            <w:pPr>
              <w:rPr>
                <w:sz w:val="22"/>
                <w:szCs w:val="22"/>
              </w:rPr>
            </w:pPr>
          </w:p>
          <w:p w14:paraId="03F8244D" w14:textId="531921D3" w:rsidR="004678F9" w:rsidRDefault="004678F9" w:rsidP="00B11059">
            <w:pPr>
              <w:rPr>
                <w:sz w:val="22"/>
                <w:szCs w:val="22"/>
              </w:rPr>
            </w:pPr>
            <w:r>
              <w:rPr>
                <w:noProof/>
              </w:rPr>
              <w:drawing>
                <wp:inline distT="0" distB="0" distL="0" distR="0" wp14:anchorId="06338202" wp14:editId="06B07286">
                  <wp:extent cx="6286500" cy="3919220"/>
                  <wp:effectExtent l="0" t="0" r="0" b="5080"/>
                  <wp:docPr id="4" name="Chart 4">
                    <a:extLst xmlns:a="http://schemas.openxmlformats.org/drawingml/2006/main">
                      <a:ext uri="{FF2B5EF4-FFF2-40B4-BE49-F238E27FC236}">
                        <a16:creationId xmlns:a16="http://schemas.microsoft.com/office/drawing/2014/main" id="{1C17C84F-1391-4BD8-87C5-6AA6D522AF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792208" w14:textId="77777777" w:rsidR="004678F9" w:rsidRDefault="004678F9" w:rsidP="00B11059">
            <w:pPr>
              <w:rPr>
                <w:sz w:val="22"/>
                <w:szCs w:val="22"/>
              </w:rPr>
            </w:pPr>
          </w:p>
          <w:p w14:paraId="488C35B8" w14:textId="4757843E" w:rsidR="004678F9" w:rsidRDefault="004678F9" w:rsidP="00B11059">
            <w:pPr>
              <w:rPr>
                <w:sz w:val="22"/>
                <w:szCs w:val="22"/>
              </w:rPr>
            </w:pPr>
          </w:p>
        </w:tc>
      </w:tr>
    </w:tbl>
    <w:p w14:paraId="157C7417" w14:textId="77777777" w:rsidR="004678F9" w:rsidRDefault="004678F9"/>
    <w:tbl>
      <w:tblPr>
        <w:tblStyle w:val="TableGrid"/>
        <w:tblW w:w="10661" w:type="dxa"/>
        <w:tblInd w:w="-1139" w:type="dxa"/>
        <w:tblLook w:val="04A0" w:firstRow="1" w:lastRow="0" w:firstColumn="1" w:lastColumn="0" w:noHBand="0" w:noVBand="1"/>
      </w:tblPr>
      <w:tblGrid>
        <w:gridCol w:w="461"/>
        <w:gridCol w:w="10200"/>
      </w:tblGrid>
      <w:tr w:rsidR="004F596C" w14:paraId="351E0C27" w14:textId="77777777" w:rsidTr="00A64F19">
        <w:tc>
          <w:tcPr>
            <w:tcW w:w="461" w:type="dxa"/>
            <w:shd w:val="clear" w:color="auto" w:fill="B8CCE4" w:themeFill="accent1" w:themeFillTint="66"/>
          </w:tcPr>
          <w:p w14:paraId="2507FE7A" w14:textId="2DBC6B27" w:rsidR="004F596C" w:rsidRPr="00835CA3" w:rsidRDefault="004F596C" w:rsidP="004F596C">
            <w:pPr>
              <w:jc w:val="both"/>
              <w:rPr>
                <w:rFonts w:cs="Arial"/>
                <w:sz w:val="22"/>
                <w:szCs w:val="22"/>
              </w:rPr>
            </w:pPr>
          </w:p>
        </w:tc>
        <w:tc>
          <w:tcPr>
            <w:tcW w:w="10200" w:type="dxa"/>
            <w:shd w:val="clear" w:color="auto" w:fill="B8CCE4" w:themeFill="accent1" w:themeFillTint="66"/>
          </w:tcPr>
          <w:p w14:paraId="0DF618B2" w14:textId="51E7D1FB" w:rsidR="004F596C" w:rsidRPr="004F596C" w:rsidRDefault="004F596C" w:rsidP="004F596C">
            <w:pPr>
              <w:rPr>
                <w:b/>
                <w:bCs/>
              </w:rPr>
            </w:pPr>
            <w:r w:rsidRPr="004F596C">
              <w:rPr>
                <w:b/>
                <w:bCs/>
              </w:rPr>
              <w:t>Internal Audit Opinion</w:t>
            </w:r>
          </w:p>
        </w:tc>
      </w:tr>
      <w:tr w:rsidR="0059255B" w14:paraId="2204785C" w14:textId="77777777" w:rsidTr="007F2874">
        <w:tc>
          <w:tcPr>
            <w:tcW w:w="461" w:type="dxa"/>
          </w:tcPr>
          <w:p w14:paraId="260E9B43" w14:textId="2831F393" w:rsidR="0059255B" w:rsidRDefault="00145A2A" w:rsidP="0059255B">
            <w:pPr>
              <w:jc w:val="both"/>
              <w:rPr>
                <w:rFonts w:cs="Arial"/>
                <w:sz w:val="22"/>
                <w:szCs w:val="22"/>
              </w:rPr>
            </w:pPr>
            <w:r>
              <w:rPr>
                <w:rFonts w:cs="Arial"/>
                <w:sz w:val="22"/>
                <w:szCs w:val="22"/>
              </w:rPr>
              <w:t>1</w:t>
            </w:r>
            <w:r w:rsidR="00BF3F33">
              <w:rPr>
                <w:rFonts w:cs="Arial"/>
                <w:sz w:val="22"/>
                <w:szCs w:val="22"/>
              </w:rPr>
              <w:t>2</w:t>
            </w:r>
          </w:p>
        </w:tc>
        <w:tc>
          <w:tcPr>
            <w:tcW w:w="10200" w:type="dxa"/>
          </w:tcPr>
          <w:p w14:paraId="24D51E3E" w14:textId="77777777" w:rsidR="007F2874" w:rsidRDefault="009D7395" w:rsidP="00145A2A">
            <w:pPr>
              <w:rPr>
                <w:sz w:val="22"/>
                <w:szCs w:val="22"/>
              </w:rPr>
            </w:pPr>
            <w:r>
              <w:rPr>
                <w:sz w:val="22"/>
                <w:szCs w:val="22"/>
              </w:rPr>
              <w:t>As t</w:t>
            </w:r>
            <w:r w:rsidR="004F596C" w:rsidRPr="004F596C">
              <w:rPr>
                <w:sz w:val="22"/>
                <w:szCs w:val="22"/>
              </w:rPr>
              <w:t>he Service Lead Audit and Risk</w:t>
            </w:r>
            <w:r>
              <w:rPr>
                <w:sz w:val="22"/>
                <w:szCs w:val="22"/>
              </w:rPr>
              <w:t xml:space="preserve">, I am </w:t>
            </w:r>
            <w:r w:rsidR="004F596C" w:rsidRPr="004F596C">
              <w:rPr>
                <w:sz w:val="22"/>
                <w:szCs w:val="22"/>
              </w:rPr>
              <w:t xml:space="preserve">satisfied that </w:t>
            </w:r>
            <w:proofErr w:type="gramStart"/>
            <w:r w:rsidR="004F596C" w:rsidRPr="004F596C">
              <w:rPr>
                <w:sz w:val="22"/>
                <w:szCs w:val="22"/>
              </w:rPr>
              <w:t>sufficient</w:t>
            </w:r>
            <w:proofErr w:type="gramEnd"/>
            <w:r w:rsidR="004F596C" w:rsidRPr="004F596C">
              <w:rPr>
                <w:sz w:val="22"/>
                <w:szCs w:val="22"/>
              </w:rPr>
              <w:t xml:space="preserve"> assurance work has been carried out to </w:t>
            </w:r>
            <w:r w:rsidR="004F596C" w:rsidRPr="00AF338B">
              <w:rPr>
                <w:sz w:val="22"/>
                <w:szCs w:val="22"/>
              </w:rPr>
              <w:t>provide an annual opinion</w:t>
            </w:r>
            <w:r w:rsidR="004F596C">
              <w:rPr>
                <w:sz w:val="22"/>
                <w:szCs w:val="22"/>
              </w:rPr>
              <w:t xml:space="preserve"> </w:t>
            </w:r>
            <w:r w:rsidR="004F596C" w:rsidRPr="00AF338B">
              <w:rPr>
                <w:sz w:val="22"/>
                <w:szCs w:val="22"/>
              </w:rPr>
              <w:t>on the overall adequacy and effectiveness of the organisation’s governance, risk management and control processes.</w:t>
            </w:r>
          </w:p>
          <w:p w14:paraId="19671104" w14:textId="462216E5" w:rsidR="00145A2A" w:rsidRPr="004F596C" w:rsidRDefault="00145A2A" w:rsidP="00145A2A">
            <w:pPr>
              <w:rPr>
                <w:sz w:val="22"/>
                <w:szCs w:val="22"/>
              </w:rPr>
            </w:pPr>
          </w:p>
        </w:tc>
      </w:tr>
      <w:tr w:rsidR="0059255B" w14:paraId="2C5DF2F8" w14:textId="77777777" w:rsidTr="007F2874">
        <w:tc>
          <w:tcPr>
            <w:tcW w:w="461" w:type="dxa"/>
          </w:tcPr>
          <w:p w14:paraId="599C2CD8" w14:textId="5E739EF7" w:rsidR="0059255B" w:rsidRDefault="00145A2A" w:rsidP="0059255B">
            <w:pPr>
              <w:jc w:val="both"/>
              <w:rPr>
                <w:rFonts w:cs="Arial"/>
                <w:sz w:val="22"/>
                <w:szCs w:val="22"/>
              </w:rPr>
            </w:pPr>
            <w:r>
              <w:rPr>
                <w:rFonts w:cs="Arial"/>
                <w:sz w:val="22"/>
                <w:szCs w:val="22"/>
              </w:rPr>
              <w:t>1</w:t>
            </w:r>
            <w:r w:rsidR="00BF3F33">
              <w:rPr>
                <w:rFonts w:cs="Arial"/>
                <w:sz w:val="22"/>
                <w:szCs w:val="22"/>
              </w:rPr>
              <w:t>3</w:t>
            </w:r>
          </w:p>
        </w:tc>
        <w:tc>
          <w:tcPr>
            <w:tcW w:w="10200" w:type="dxa"/>
          </w:tcPr>
          <w:p w14:paraId="5DD91BE6" w14:textId="10D561DA" w:rsidR="00BE632F" w:rsidRDefault="00BE632F" w:rsidP="00145A2A">
            <w:pPr>
              <w:jc w:val="both"/>
              <w:rPr>
                <w:b/>
                <w:bCs/>
                <w:sz w:val="22"/>
                <w:szCs w:val="22"/>
              </w:rPr>
            </w:pPr>
            <w:r w:rsidRPr="009D7395">
              <w:rPr>
                <w:sz w:val="22"/>
                <w:szCs w:val="22"/>
              </w:rPr>
              <w:t xml:space="preserve">Based on the work undertaken and evidence available to Internal Audit including other sources of assurance, it is considered that the overall adequacy and effectiveness of the </w:t>
            </w:r>
            <w:r w:rsidR="00DB651A">
              <w:rPr>
                <w:sz w:val="22"/>
                <w:szCs w:val="22"/>
              </w:rPr>
              <w:t>Council</w:t>
            </w:r>
            <w:r w:rsidR="007F2874" w:rsidRPr="009D7395">
              <w:rPr>
                <w:sz w:val="22"/>
                <w:szCs w:val="22"/>
              </w:rPr>
              <w:t>’s governance</w:t>
            </w:r>
            <w:r w:rsidRPr="009D7395">
              <w:rPr>
                <w:sz w:val="22"/>
                <w:szCs w:val="22"/>
              </w:rPr>
              <w:t>, risk management and control processes are</w:t>
            </w:r>
            <w:r w:rsidRPr="00BE632F">
              <w:rPr>
                <w:b/>
                <w:bCs/>
                <w:sz w:val="22"/>
                <w:szCs w:val="22"/>
              </w:rPr>
              <w:t xml:space="preserve"> adequate. </w:t>
            </w:r>
          </w:p>
          <w:p w14:paraId="5771307C" w14:textId="1EF5FC34" w:rsidR="00145A2A" w:rsidRPr="00BE632F" w:rsidRDefault="00145A2A" w:rsidP="00145A2A">
            <w:pPr>
              <w:jc w:val="both"/>
              <w:rPr>
                <w:b/>
                <w:bCs/>
                <w:sz w:val="22"/>
                <w:szCs w:val="22"/>
              </w:rPr>
            </w:pPr>
          </w:p>
        </w:tc>
      </w:tr>
      <w:tr w:rsidR="005F580A" w14:paraId="6DF494D7" w14:textId="77777777" w:rsidTr="007F2874">
        <w:tc>
          <w:tcPr>
            <w:tcW w:w="461" w:type="dxa"/>
          </w:tcPr>
          <w:p w14:paraId="499DD568" w14:textId="4AC59AD7" w:rsidR="005F580A" w:rsidRDefault="005F580A" w:rsidP="0059255B">
            <w:pPr>
              <w:jc w:val="both"/>
              <w:rPr>
                <w:rFonts w:cs="Arial"/>
                <w:sz w:val="22"/>
                <w:szCs w:val="22"/>
              </w:rPr>
            </w:pPr>
            <w:r>
              <w:rPr>
                <w:rFonts w:cs="Arial"/>
                <w:sz w:val="22"/>
                <w:szCs w:val="22"/>
              </w:rPr>
              <w:t>1</w:t>
            </w:r>
            <w:r w:rsidR="00BF3F33">
              <w:rPr>
                <w:rFonts w:cs="Arial"/>
                <w:sz w:val="22"/>
                <w:szCs w:val="22"/>
              </w:rPr>
              <w:t>4</w:t>
            </w:r>
          </w:p>
        </w:tc>
        <w:tc>
          <w:tcPr>
            <w:tcW w:w="10200" w:type="dxa"/>
          </w:tcPr>
          <w:p w14:paraId="5D6214D4" w14:textId="5BB42FC1" w:rsidR="005F580A" w:rsidRDefault="005F580A" w:rsidP="006F370C">
            <w:pPr>
              <w:jc w:val="both"/>
              <w:rPr>
                <w:sz w:val="22"/>
                <w:szCs w:val="22"/>
              </w:rPr>
            </w:pPr>
            <w:r>
              <w:rPr>
                <w:sz w:val="22"/>
                <w:szCs w:val="22"/>
              </w:rPr>
              <w:t xml:space="preserve">The </w:t>
            </w:r>
            <w:r w:rsidR="00DB651A">
              <w:rPr>
                <w:sz w:val="22"/>
                <w:szCs w:val="22"/>
              </w:rPr>
              <w:t>Council</w:t>
            </w:r>
            <w:r w:rsidR="00B11059">
              <w:rPr>
                <w:sz w:val="22"/>
                <w:szCs w:val="22"/>
              </w:rPr>
              <w:t xml:space="preserve"> has made significant progress to improve the overall governance and risk management </w:t>
            </w:r>
            <w:r w:rsidR="00BD1A52">
              <w:rPr>
                <w:sz w:val="22"/>
                <w:szCs w:val="22"/>
              </w:rPr>
              <w:t>and arra</w:t>
            </w:r>
            <w:r w:rsidR="00B11059">
              <w:rPr>
                <w:sz w:val="22"/>
                <w:szCs w:val="22"/>
              </w:rPr>
              <w:t>ngements</w:t>
            </w:r>
            <w:r w:rsidR="00B447C8">
              <w:rPr>
                <w:sz w:val="22"/>
                <w:szCs w:val="22"/>
              </w:rPr>
              <w:t xml:space="preserve">. The past 12-18 months have seen the introduction of a range of corporate processes to provide a robust governance framework.  </w:t>
            </w:r>
            <w:r w:rsidR="00145A2A">
              <w:rPr>
                <w:sz w:val="22"/>
                <w:szCs w:val="22"/>
              </w:rPr>
              <w:t xml:space="preserve"> </w:t>
            </w:r>
            <w:r w:rsidR="00B11059">
              <w:rPr>
                <w:sz w:val="22"/>
                <w:szCs w:val="22"/>
              </w:rPr>
              <w:t xml:space="preserve">The challenge now for the </w:t>
            </w:r>
            <w:r w:rsidR="00DB651A">
              <w:rPr>
                <w:sz w:val="22"/>
                <w:szCs w:val="22"/>
              </w:rPr>
              <w:t>Council</w:t>
            </w:r>
            <w:r w:rsidR="00B11059">
              <w:rPr>
                <w:sz w:val="22"/>
                <w:szCs w:val="22"/>
              </w:rPr>
              <w:t xml:space="preserve"> is to ensure that the </w:t>
            </w:r>
            <w:r w:rsidR="00B11059">
              <w:rPr>
                <w:sz w:val="22"/>
                <w:szCs w:val="22"/>
              </w:rPr>
              <w:lastRenderedPageBreak/>
              <w:t xml:space="preserve">momentum of continuous improvement does not wane and that the governance framework in place becomes fully embedded in all </w:t>
            </w:r>
            <w:r w:rsidR="00DB651A">
              <w:rPr>
                <w:sz w:val="22"/>
                <w:szCs w:val="22"/>
              </w:rPr>
              <w:t>Council</w:t>
            </w:r>
            <w:r w:rsidR="00B11059">
              <w:rPr>
                <w:sz w:val="22"/>
                <w:szCs w:val="22"/>
              </w:rPr>
              <w:t xml:space="preserve"> activities.</w:t>
            </w:r>
          </w:p>
          <w:p w14:paraId="4710E381" w14:textId="43318257" w:rsidR="00B11059" w:rsidRPr="009D7395" w:rsidRDefault="00B11059" w:rsidP="006F370C">
            <w:pPr>
              <w:jc w:val="both"/>
              <w:rPr>
                <w:sz w:val="22"/>
                <w:szCs w:val="22"/>
              </w:rPr>
            </w:pPr>
          </w:p>
        </w:tc>
      </w:tr>
    </w:tbl>
    <w:p w14:paraId="182D4257" w14:textId="77777777" w:rsidR="00514D84" w:rsidRDefault="00514D84" w:rsidP="00514D84">
      <w:pPr>
        <w:jc w:val="right"/>
        <w:rPr>
          <w:rFonts w:cs="Arial"/>
          <w:szCs w:val="24"/>
        </w:rPr>
      </w:pPr>
    </w:p>
    <w:tbl>
      <w:tblPr>
        <w:tblStyle w:val="TableGrid"/>
        <w:tblW w:w="10661" w:type="dxa"/>
        <w:tblInd w:w="-1139" w:type="dxa"/>
        <w:tblLook w:val="04A0" w:firstRow="1" w:lastRow="0" w:firstColumn="1" w:lastColumn="0" w:noHBand="0" w:noVBand="1"/>
      </w:tblPr>
      <w:tblGrid>
        <w:gridCol w:w="461"/>
        <w:gridCol w:w="10200"/>
      </w:tblGrid>
      <w:tr w:rsidR="009D7395" w:rsidRPr="004F596C" w14:paraId="03FACB62" w14:textId="77777777" w:rsidTr="00A64F19">
        <w:tc>
          <w:tcPr>
            <w:tcW w:w="461" w:type="dxa"/>
            <w:shd w:val="clear" w:color="auto" w:fill="B8CCE4" w:themeFill="accent1" w:themeFillTint="66"/>
          </w:tcPr>
          <w:p w14:paraId="6E7775B0" w14:textId="77777777" w:rsidR="009D7395" w:rsidRPr="00835CA3" w:rsidRDefault="009D7395" w:rsidP="00B11059">
            <w:pPr>
              <w:jc w:val="both"/>
              <w:rPr>
                <w:rFonts w:cs="Arial"/>
                <w:sz w:val="22"/>
                <w:szCs w:val="22"/>
              </w:rPr>
            </w:pPr>
          </w:p>
        </w:tc>
        <w:tc>
          <w:tcPr>
            <w:tcW w:w="10200" w:type="dxa"/>
            <w:shd w:val="clear" w:color="auto" w:fill="B8CCE4" w:themeFill="accent1" w:themeFillTint="66"/>
          </w:tcPr>
          <w:p w14:paraId="77EAC0FE" w14:textId="48A5F141" w:rsidR="009D7395" w:rsidRPr="004F596C" w:rsidRDefault="009D7395" w:rsidP="00B11059">
            <w:pPr>
              <w:rPr>
                <w:b/>
                <w:bCs/>
              </w:rPr>
            </w:pPr>
            <w:r>
              <w:rPr>
                <w:b/>
                <w:bCs/>
              </w:rPr>
              <w:t>Work completed to support the opinion</w:t>
            </w:r>
          </w:p>
        </w:tc>
      </w:tr>
      <w:tr w:rsidR="009D7395" w:rsidRPr="004F596C" w14:paraId="46CCB369" w14:textId="77777777" w:rsidTr="00B11059">
        <w:tc>
          <w:tcPr>
            <w:tcW w:w="461" w:type="dxa"/>
          </w:tcPr>
          <w:p w14:paraId="475932DC" w14:textId="4D5994F0" w:rsidR="009D7395" w:rsidRDefault="006B2AB0" w:rsidP="00B11059">
            <w:pPr>
              <w:jc w:val="both"/>
              <w:rPr>
                <w:rFonts w:cs="Arial"/>
                <w:sz w:val="22"/>
                <w:szCs w:val="22"/>
              </w:rPr>
            </w:pPr>
            <w:r>
              <w:rPr>
                <w:rFonts w:cs="Arial"/>
                <w:sz w:val="22"/>
                <w:szCs w:val="22"/>
              </w:rPr>
              <w:t>1</w:t>
            </w:r>
            <w:r w:rsidR="00BF3F33">
              <w:rPr>
                <w:rFonts w:cs="Arial"/>
                <w:sz w:val="22"/>
                <w:szCs w:val="22"/>
              </w:rPr>
              <w:t>5</w:t>
            </w:r>
          </w:p>
        </w:tc>
        <w:tc>
          <w:tcPr>
            <w:tcW w:w="10200" w:type="dxa"/>
          </w:tcPr>
          <w:p w14:paraId="53250CE6" w14:textId="7B046F3F" w:rsidR="006B2AB0" w:rsidRPr="006B2AB0" w:rsidRDefault="006B2AB0" w:rsidP="00B11059">
            <w:pPr>
              <w:rPr>
                <w:sz w:val="22"/>
                <w:szCs w:val="22"/>
                <w:u w:val="single"/>
              </w:rPr>
            </w:pPr>
            <w:r w:rsidRPr="006B2AB0">
              <w:rPr>
                <w:sz w:val="22"/>
                <w:szCs w:val="22"/>
                <w:u w:val="single"/>
              </w:rPr>
              <w:t>Planned Audit Work</w:t>
            </w:r>
          </w:p>
          <w:p w14:paraId="166A5732" w14:textId="77777777" w:rsidR="006B2AB0" w:rsidRDefault="006B2AB0" w:rsidP="00B11059">
            <w:pPr>
              <w:rPr>
                <w:sz w:val="22"/>
                <w:szCs w:val="22"/>
              </w:rPr>
            </w:pPr>
          </w:p>
          <w:p w14:paraId="20EE1EEE" w14:textId="4F6CA7B3" w:rsidR="009D7395" w:rsidRDefault="009D7395" w:rsidP="00B11059">
            <w:pPr>
              <w:rPr>
                <w:sz w:val="22"/>
                <w:szCs w:val="22"/>
              </w:rPr>
            </w:pPr>
            <w:r>
              <w:rPr>
                <w:sz w:val="22"/>
                <w:szCs w:val="22"/>
              </w:rPr>
              <w:t>Each review undertaken by Internal Audit is awarded an assurance opinion derived from the findings and based upon the following definitions:</w:t>
            </w:r>
          </w:p>
          <w:p w14:paraId="0A9247FD" w14:textId="28E06491" w:rsidR="009D7395" w:rsidRDefault="009D7395" w:rsidP="00B11059">
            <w:pPr>
              <w:rPr>
                <w:sz w:val="22"/>
                <w:szCs w:val="22"/>
              </w:rPr>
            </w:pPr>
          </w:p>
          <w:tbl>
            <w:tblPr>
              <w:tblStyle w:val="TableGrid"/>
              <w:tblW w:w="0" w:type="auto"/>
              <w:tblLook w:val="04A0" w:firstRow="1" w:lastRow="0" w:firstColumn="1" w:lastColumn="0" w:noHBand="0" w:noVBand="1"/>
            </w:tblPr>
            <w:tblGrid>
              <w:gridCol w:w="2125"/>
              <w:gridCol w:w="7849"/>
            </w:tblGrid>
            <w:tr w:rsidR="009D7395" w14:paraId="30D46E0D" w14:textId="77777777" w:rsidTr="002652DD">
              <w:tc>
                <w:tcPr>
                  <w:tcW w:w="2125" w:type="dxa"/>
                  <w:shd w:val="clear" w:color="auto" w:fill="DBE5F1" w:themeFill="accent1" w:themeFillTint="33"/>
                </w:tcPr>
                <w:p w14:paraId="7D937C7E" w14:textId="147AB654" w:rsidR="009D7395" w:rsidRDefault="009D7395" w:rsidP="006B2AB0">
                  <w:pPr>
                    <w:rPr>
                      <w:sz w:val="22"/>
                      <w:szCs w:val="22"/>
                    </w:rPr>
                  </w:pPr>
                  <w:r w:rsidRPr="009D7395">
                    <w:rPr>
                      <w:rFonts w:eastAsiaTheme="minorHAnsi" w:cs="Arial"/>
                      <w:b/>
                      <w:iCs/>
                      <w:sz w:val="22"/>
                      <w:szCs w:val="22"/>
                    </w:rPr>
                    <w:t>Full</w:t>
                  </w:r>
                </w:p>
              </w:tc>
              <w:tc>
                <w:tcPr>
                  <w:tcW w:w="7849" w:type="dxa"/>
                </w:tcPr>
                <w:p w14:paraId="7EE6FCD0" w14:textId="77777777" w:rsidR="009D7395" w:rsidRPr="009D7395" w:rsidRDefault="009D7395" w:rsidP="006B2AB0">
                  <w:pPr>
                    <w:spacing w:after="200"/>
                    <w:contextualSpacing/>
                    <w:rPr>
                      <w:rFonts w:eastAsiaTheme="minorHAnsi" w:cs="Arial"/>
                      <w:b/>
                      <w:sz w:val="22"/>
                      <w:szCs w:val="22"/>
                    </w:rPr>
                  </w:pPr>
                  <w:r w:rsidRPr="009D7395">
                    <w:rPr>
                      <w:rFonts w:eastAsiaTheme="minorHAnsi" w:cs="Arial"/>
                      <w:iCs/>
                      <w:sz w:val="22"/>
                      <w:szCs w:val="22"/>
                    </w:rPr>
                    <w:t>the Authority can place complete reliance on the controls.  No control weaknesses exist.</w:t>
                  </w:r>
                </w:p>
                <w:p w14:paraId="1E1BF00A" w14:textId="77777777" w:rsidR="009D7395" w:rsidRDefault="009D7395" w:rsidP="006B2AB0">
                  <w:pPr>
                    <w:rPr>
                      <w:sz w:val="22"/>
                      <w:szCs w:val="22"/>
                    </w:rPr>
                  </w:pPr>
                </w:p>
              </w:tc>
            </w:tr>
            <w:tr w:rsidR="009D7395" w14:paraId="195AC8C1" w14:textId="77777777" w:rsidTr="002652DD">
              <w:tc>
                <w:tcPr>
                  <w:tcW w:w="2125" w:type="dxa"/>
                  <w:shd w:val="clear" w:color="auto" w:fill="DBE5F1" w:themeFill="accent1" w:themeFillTint="33"/>
                </w:tcPr>
                <w:p w14:paraId="608EA7F6" w14:textId="1FCC4B7D" w:rsidR="009D7395" w:rsidRDefault="009D7395" w:rsidP="006B2AB0">
                  <w:pPr>
                    <w:rPr>
                      <w:sz w:val="22"/>
                      <w:szCs w:val="22"/>
                    </w:rPr>
                  </w:pPr>
                  <w:r w:rsidRPr="009D7395">
                    <w:rPr>
                      <w:rFonts w:eastAsiaTheme="minorHAnsi" w:cs="Arial"/>
                      <w:b/>
                      <w:sz w:val="22"/>
                      <w:szCs w:val="22"/>
                      <w:lang w:val="en-US"/>
                    </w:rPr>
                    <w:t>Substantial</w:t>
                  </w:r>
                </w:p>
              </w:tc>
              <w:tc>
                <w:tcPr>
                  <w:tcW w:w="7849" w:type="dxa"/>
                </w:tcPr>
                <w:p w14:paraId="0F10A113" w14:textId="77777777" w:rsidR="009D7395" w:rsidRPr="009D7395" w:rsidRDefault="009D7395" w:rsidP="006B2AB0">
                  <w:pPr>
                    <w:spacing w:after="200"/>
                    <w:contextualSpacing/>
                    <w:rPr>
                      <w:rFonts w:eastAsiaTheme="minorHAnsi" w:cs="Arial"/>
                      <w:b/>
                      <w:sz w:val="22"/>
                      <w:szCs w:val="22"/>
                    </w:rPr>
                  </w:pPr>
                  <w:r w:rsidRPr="009D7395">
                    <w:rPr>
                      <w:rFonts w:eastAsiaTheme="minorHAnsi" w:cs="Arial"/>
                      <w:iCs/>
                      <w:sz w:val="22"/>
                      <w:szCs w:val="22"/>
                    </w:rPr>
                    <w:t xml:space="preserve">the Authority can place </w:t>
                  </w:r>
                  <w:proofErr w:type="gramStart"/>
                  <w:r w:rsidRPr="009D7395">
                    <w:rPr>
                      <w:rFonts w:eastAsiaTheme="minorHAnsi" w:cs="Arial"/>
                      <w:iCs/>
                      <w:sz w:val="22"/>
                      <w:szCs w:val="22"/>
                    </w:rPr>
                    <w:t>sufficient</w:t>
                  </w:r>
                  <w:proofErr w:type="gramEnd"/>
                  <w:r w:rsidRPr="009D7395">
                    <w:rPr>
                      <w:rFonts w:eastAsiaTheme="minorHAnsi" w:cs="Arial"/>
                      <w:iCs/>
                      <w:sz w:val="22"/>
                      <w:szCs w:val="22"/>
                    </w:rPr>
                    <w:t xml:space="preserve"> reliance on the controls. Only minor control weaknesses exist.</w:t>
                  </w:r>
                </w:p>
                <w:p w14:paraId="5BCE6DE5" w14:textId="77777777" w:rsidR="009D7395" w:rsidRDefault="009D7395" w:rsidP="006B2AB0">
                  <w:pPr>
                    <w:rPr>
                      <w:sz w:val="22"/>
                      <w:szCs w:val="22"/>
                    </w:rPr>
                  </w:pPr>
                </w:p>
              </w:tc>
            </w:tr>
            <w:tr w:rsidR="009D7395" w14:paraId="00790C89" w14:textId="77777777" w:rsidTr="002652DD">
              <w:tc>
                <w:tcPr>
                  <w:tcW w:w="2125" w:type="dxa"/>
                  <w:shd w:val="clear" w:color="auto" w:fill="DBE5F1" w:themeFill="accent1" w:themeFillTint="33"/>
                </w:tcPr>
                <w:p w14:paraId="4AD4506E" w14:textId="36E83591" w:rsidR="009D7395" w:rsidRDefault="009D7395" w:rsidP="006B2AB0">
                  <w:pPr>
                    <w:rPr>
                      <w:sz w:val="22"/>
                      <w:szCs w:val="22"/>
                    </w:rPr>
                  </w:pPr>
                  <w:r w:rsidRPr="009D7395">
                    <w:rPr>
                      <w:rFonts w:eastAsiaTheme="minorHAnsi" w:cs="Arial"/>
                      <w:b/>
                      <w:sz w:val="22"/>
                      <w:szCs w:val="22"/>
                      <w:lang w:val="en-US"/>
                    </w:rPr>
                    <w:t>Adequate</w:t>
                  </w:r>
                </w:p>
              </w:tc>
              <w:tc>
                <w:tcPr>
                  <w:tcW w:w="7849" w:type="dxa"/>
                </w:tcPr>
                <w:p w14:paraId="7A10FF61" w14:textId="77777777" w:rsidR="009D7395" w:rsidRDefault="009D7395" w:rsidP="006B2AB0">
                  <w:pPr>
                    <w:rPr>
                      <w:rFonts w:eastAsiaTheme="minorHAnsi" w:cs="Arial"/>
                      <w:iCs/>
                      <w:sz w:val="22"/>
                      <w:szCs w:val="22"/>
                    </w:rPr>
                  </w:pPr>
                  <w:r w:rsidRPr="009D7395">
                    <w:rPr>
                      <w:rFonts w:eastAsiaTheme="minorHAnsi" w:cs="Arial"/>
                      <w:iCs/>
                      <w:sz w:val="22"/>
                      <w:szCs w:val="22"/>
                    </w:rPr>
                    <w:t>the Authority can place only partial reliance on the controls.  Some control issues need to be resolved.</w:t>
                  </w:r>
                </w:p>
                <w:p w14:paraId="4E1E6E44" w14:textId="75E55594" w:rsidR="009D7395" w:rsidRDefault="009D7395" w:rsidP="006B2AB0">
                  <w:pPr>
                    <w:rPr>
                      <w:sz w:val="22"/>
                      <w:szCs w:val="22"/>
                    </w:rPr>
                  </w:pPr>
                </w:p>
              </w:tc>
            </w:tr>
            <w:tr w:rsidR="009D7395" w14:paraId="673A0238" w14:textId="77777777" w:rsidTr="002652DD">
              <w:tc>
                <w:tcPr>
                  <w:tcW w:w="2125" w:type="dxa"/>
                  <w:shd w:val="clear" w:color="auto" w:fill="DBE5F1" w:themeFill="accent1" w:themeFillTint="33"/>
                </w:tcPr>
                <w:p w14:paraId="3EE2917A" w14:textId="78D4A3C4" w:rsidR="009D7395" w:rsidRDefault="009D7395" w:rsidP="006B2AB0">
                  <w:pPr>
                    <w:rPr>
                      <w:sz w:val="22"/>
                      <w:szCs w:val="22"/>
                    </w:rPr>
                  </w:pPr>
                  <w:r w:rsidRPr="009D7395">
                    <w:rPr>
                      <w:rFonts w:eastAsiaTheme="minorHAnsi" w:cs="Arial"/>
                      <w:b/>
                      <w:sz w:val="22"/>
                      <w:szCs w:val="22"/>
                      <w:lang w:val="en-US"/>
                    </w:rPr>
                    <w:t>Limited</w:t>
                  </w:r>
                </w:p>
              </w:tc>
              <w:tc>
                <w:tcPr>
                  <w:tcW w:w="7849" w:type="dxa"/>
                </w:tcPr>
                <w:p w14:paraId="14F3C785" w14:textId="739D557B" w:rsidR="009D7395" w:rsidRDefault="009D7395" w:rsidP="006B2AB0">
                  <w:pPr>
                    <w:rPr>
                      <w:sz w:val="22"/>
                      <w:szCs w:val="22"/>
                    </w:rPr>
                  </w:pPr>
                  <w:r w:rsidRPr="009D7395">
                    <w:rPr>
                      <w:rFonts w:eastAsiaTheme="minorHAnsi" w:cs="Arial"/>
                      <w:iCs/>
                      <w:sz w:val="22"/>
                      <w:szCs w:val="22"/>
                    </w:rPr>
                    <w:t xml:space="preserve">the Authority cannot place </w:t>
                  </w:r>
                  <w:proofErr w:type="gramStart"/>
                  <w:r w:rsidRPr="009D7395">
                    <w:rPr>
                      <w:rFonts w:eastAsiaTheme="minorHAnsi" w:cs="Arial"/>
                      <w:iCs/>
                      <w:sz w:val="22"/>
                      <w:szCs w:val="22"/>
                    </w:rPr>
                    <w:t>sufficient</w:t>
                  </w:r>
                  <w:proofErr w:type="gramEnd"/>
                  <w:r w:rsidRPr="009D7395">
                    <w:rPr>
                      <w:rFonts w:eastAsiaTheme="minorHAnsi" w:cs="Arial"/>
                      <w:iCs/>
                      <w:sz w:val="22"/>
                      <w:szCs w:val="22"/>
                    </w:rPr>
                    <w:t xml:space="preserve"> reliance on the controls.  Substantive control weaknesses exist</w:t>
                  </w:r>
                </w:p>
              </w:tc>
            </w:tr>
          </w:tbl>
          <w:p w14:paraId="25D99B5F" w14:textId="77777777" w:rsidR="00145A2A" w:rsidRDefault="00145A2A" w:rsidP="009D7395">
            <w:pPr>
              <w:spacing w:after="200" w:line="276" w:lineRule="auto"/>
              <w:contextualSpacing/>
              <w:rPr>
                <w:rFonts w:eastAsiaTheme="minorHAnsi" w:cs="Arial"/>
                <w:bCs/>
                <w:sz w:val="22"/>
                <w:szCs w:val="22"/>
              </w:rPr>
            </w:pPr>
          </w:p>
          <w:p w14:paraId="25F22D5F" w14:textId="38EE37A6" w:rsidR="00D6780D" w:rsidRDefault="00D6780D" w:rsidP="009D7395">
            <w:pPr>
              <w:spacing w:after="200" w:line="276" w:lineRule="auto"/>
              <w:contextualSpacing/>
              <w:rPr>
                <w:rFonts w:eastAsiaTheme="minorHAnsi" w:cs="Arial"/>
                <w:bCs/>
                <w:sz w:val="22"/>
                <w:szCs w:val="22"/>
              </w:rPr>
            </w:pPr>
            <w:r w:rsidRPr="002063CF">
              <w:rPr>
                <w:rFonts w:eastAsiaTheme="minorHAnsi" w:cs="Arial"/>
                <w:bCs/>
                <w:sz w:val="22"/>
                <w:szCs w:val="22"/>
              </w:rPr>
              <w:t>Reviews completed during 2021-2022 and the assurance rating awarded is included in the table below:</w:t>
            </w:r>
          </w:p>
          <w:p w14:paraId="0F3A746D" w14:textId="77777777" w:rsidR="00637B08" w:rsidRDefault="00637B08" w:rsidP="009D7395">
            <w:pPr>
              <w:spacing w:after="200" w:line="276" w:lineRule="auto"/>
              <w:contextualSpacing/>
              <w:rPr>
                <w:rFonts w:eastAsiaTheme="minorHAnsi" w:cs="Arial"/>
                <w:b/>
                <w:sz w:val="22"/>
                <w:szCs w:val="22"/>
              </w:rPr>
            </w:pPr>
          </w:p>
          <w:tbl>
            <w:tblPr>
              <w:tblStyle w:val="TableGrid"/>
              <w:tblW w:w="0" w:type="auto"/>
              <w:tblLook w:val="04A0" w:firstRow="1" w:lastRow="0" w:firstColumn="1" w:lastColumn="0" w:noHBand="0" w:noVBand="1"/>
            </w:tblPr>
            <w:tblGrid>
              <w:gridCol w:w="2119"/>
              <w:gridCol w:w="7855"/>
            </w:tblGrid>
            <w:tr w:rsidR="00D6780D" w14:paraId="063250F7" w14:textId="77777777" w:rsidTr="002652DD">
              <w:trPr>
                <w:trHeight w:val="373"/>
              </w:trPr>
              <w:tc>
                <w:tcPr>
                  <w:tcW w:w="2119" w:type="dxa"/>
                  <w:shd w:val="clear" w:color="auto" w:fill="DBE5F1" w:themeFill="accent1" w:themeFillTint="33"/>
                </w:tcPr>
                <w:p w14:paraId="1AA7397C" w14:textId="02BC05AD" w:rsidR="00D6780D" w:rsidRDefault="002063CF" w:rsidP="00694C18">
                  <w:pPr>
                    <w:spacing w:after="200"/>
                    <w:contextualSpacing/>
                    <w:rPr>
                      <w:rFonts w:eastAsiaTheme="minorHAnsi" w:cs="Arial"/>
                      <w:b/>
                      <w:sz w:val="22"/>
                      <w:szCs w:val="22"/>
                    </w:rPr>
                  </w:pPr>
                  <w:r>
                    <w:rPr>
                      <w:rFonts w:eastAsiaTheme="minorHAnsi" w:cs="Arial"/>
                      <w:b/>
                      <w:sz w:val="22"/>
                      <w:szCs w:val="22"/>
                    </w:rPr>
                    <w:t xml:space="preserve">Full </w:t>
                  </w:r>
                </w:p>
              </w:tc>
              <w:tc>
                <w:tcPr>
                  <w:tcW w:w="7855" w:type="dxa"/>
                </w:tcPr>
                <w:p w14:paraId="1C550F22" w14:textId="69D2651B" w:rsidR="00D6780D" w:rsidRPr="002063CF" w:rsidRDefault="002063CF" w:rsidP="0052571D">
                  <w:pPr>
                    <w:pStyle w:val="ListParagraph"/>
                    <w:numPr>
                      <w:ilvl w:val="0"/>
                      <w:numId w:val="7"/>
                    </w:numPr>
                    <w:spacing w:after="200"/>
                    <w:contextualSpacing/>
                    <w:rPr>
                      <w:rFonts w:eastAsiaTheme="minorHAnsi" w:cs="Arial"/>
                      <w:bCs/>
                      <w:sz w:val="22"/>
                      <w:szCs w:val="22"/>
                    </w:rPr>
                  </w:pPr>
                  <w:r w:rsidRPr="002063CF">
                    <w:rPr>
                      <w:rFonts w:eastAsiaTheme="minorHAnsi" w:cs="Arial"/>
                      <w:bCs/>
                      <w:sz w:val="22"/>
                      <w:szCs w:val="22"/>
                    </w:rPr>
                    <w:t>No reviews have been awarded full assurance during 2021-2022</w:t>
                  </w:r>
                </w:p>
              </w:tc>
            </w:tr>
            <w:tr w:rsidR="00D6780D" w14:paraId="0D1DE6D0" w14:textId="77777777" w:rsidTr="002652DD">
              <w:tc>
                <w:tcPr>
                  <w:tcW w:w="2119" w:type="dxa"/>
                  <w:shd w:val="clear" w:color="auto" w:fill="DBE5F1" w:themeFill="accent1" w:themeFillTint="33"/>
                </w:tcPr>
                <w:p w14:paraId="5358BD64" w14:textId="1489D235" w:rsidR="00D6780D" w:rsidRDefault="002063CF" w:rsidP="00694C18">
                  <w:pPr>
                    <w:spacing w:after="200"/>
                    <w:contextualSpacing/>
                    <w:rPr>
                      <w:rFonts w:eastAsiaTheme="minorHAnsi" w:cs="Arial"/>
                      <w:b/>
                      <w:sz w:val="22"/>
                      <w:szCs w:val="22"/>
                    </w:rPr>
                  </w:pPr>
                  <w:r>
                    <w:rPr>
                      <w:rFonts w:eastAsiaTheme="minorHAnsi" w:cs="Arial"/>
                      <w:b/>
                      <w:sz w:val="22"/>
                      <w:szCs w:val="22"/>
                    </w:rPr>
                    <w:t>Substantial</w:t>
                  </w:r>
                </w:p>
              </w:tc>
              <w:tc>
                <w:tcPr>
                  <w:tcW w:w="7855" w:type="dxa"/>
                </w:tcPr>
                <w:p w14:paraId="1ABEF24F" w14:textId="77777777" w:rsidR="00D6780D" w:rsidRDefault="002063CF" w:rsidP="0052571D">
                  <w:pPr>
                    <w:pStyle w:val="ListParagraph"/>
                    <w:numPr>
                      <w:ilvl w:val="0"/>
                      <w:numId w:val="6"/>
                    </w:numPr>
                    <w:spacing w:after="200"/>
                    <w:contextualSpacing/>
                    <w:rPr>
                      <w:rFonts w:eastAsiaTheme="minorHAnsi" w:cs="Arial"/>
                      <w:bCs/>
                      <w:sz w:val="22"/>
                      <w:szCs w:val="22"/>
                    </w:rPr>
                  </w:pPr>
                  <w:r w:rsidRPr="002063CF">
                    <w:rPr>
                      <w:rFonts w:eastAsiaTheme="minorHAnsi" w:cs="Arial"/>
                      <w:bCs/>
                      <w:sz w:val="22"/>
                      <w:szCs w:val="22"/>
                    </w:rPr>
                    <w:t>Sundry Debtors</w:t>
                  </w:r>
                </w:p>
                <w:p w14:paraId="38ECA654" w14:textId="27E69C85" w:rsidR="002063CF" w:rsidRDefault="002063CF" w:rsidP="0052571D">
                  <w:pPr>
                    <w:pStyle w:val="ListParagraph"/>
                    <w:numPr>
                      <w:ilvl w:val="0"/>
                      <w:numId w:val="6"/>
                    </w:numPr>
                    <w:spacing w:after="200"/>
                    <w:contextualSpacing/>
                    <w:rPr>
                      <w:rFonts w:eastAsiaTheme="minorHAnsi" w:cs="Arial"/>
                      <w:bCs/>
                      <w:sz w:val="22"/>
                      <w:szCs w:val="22"/>
                    </w:rPr>
                  </w:pPr>
                  <w:r>
                    <w:rPr>
                      <w:rFonts w:eastAsiaTheme="minorHAnsi" w:cs="Arial"/>
                      <w:bCs/>
                      <w:sz w:val="22"/>
                      <w:szCs w:val="22"/>
                    </w:rPr>
                    <w:t xml:space="preserve">Budget </w:t>
                  </w:r>
                  <w:r w:rsidR="00DB651A">
                    <w:rPr>
                      <w:rFonts w:eastAsiaTheme="minorHAnsi" w:cs="Arial"/>
                      <w:bCs/>
                      <w:sz w:val="22"/>
                      <w:szCs w:val="22"/>
                    </w:rPr>
                    <w:t>M</w:t>
                  </w:r>
                  <w:r>
                    <w:rPr>
                      <w:rFonts w:eastAsiaTheme="minorHAnsi" w:cs="Arial"/>
                      <w:bCs/>
                      <w:sz w:val="22"/>
                      <w:szCs w:val="22"/>
                    </w:rPr>
                    <w:t>onitoring</w:t>
                  </w:r>
                </w:p>
                <w:p w14:paraId="36948E25" w14:textId="77777777" w:rsidR="002063CF" w:rsidRDefault="002063CF" w:rsidP="0052571D">
                  <w:pPr>
                    <w:pStyle w:val="ListParagraph"/>
                    <w:numPr>
                      <w:ilvl w:val="0"/>
                      <w:numId w:val="6"/>
                    </w:numPr>
                    <w:spacing w:after="200"/>
                    <w:contextualSpacing/>
                    <w:rPr>
                      <w:rFonts w:eastAsiaTheme="minorHAnsi" w:cs="Arial"/>
                      <w:bCs/>
                      <w:sz w:val="22"/>
                      <w:szCs w:val="22"/>
                    </w:rPr>
                  </w:pPr>
                  <w:r>
                    <w:rPr>
                      <w:rFonts w:eastAsiaTheme="minorHAnsi" w:cs="Arial"/>
                      <w:bCs/>
                      <w:sz w:val="22"/>
                      <w:szCs w:val="22"/>
                    </w:rPr>
                    <w:t>Creditors</w:t>
                  </w:r>
                </w:p>
                <w:p w14:paraId="0E667EDF" w14:textId="490840D2" w:rsidR="002063CF" w:rsidRPr="002063CF" w:rsidRDefault="002063CF" w:rsidP="0052571D">
                  <w:pPr>
                    <w:pStyle w:val="ListParagraph"/>
                    <w:numPr>
                      <w:ilvl w:val="0"/>
                      <w:numId w:val="6"/>
                    </w:numPr>
                    <w:spacing w:after="200"/>
                    <w:contextualSpacing/>
                    <w:rPr>
                      <w:rFonts w:eastAsiaTheme="minorHAnsi" w:cs="Arial"/>
                      <w:bCs/>
                      <w:sz w:val="22"/>
                      <w:szCs w:val="22"/>
                    </w:rPr>
                  </w:pPr>
                  <w:r>
                    <w:rPr>
                      <w:rFonts w:eastAsiaTheme="minorHAnsi" w:cs="Arial"/>
                      <w:bCs/>
                      <w:sz w:val="22"/>
                      <w:szCs w:val="22"/>
                    </w:rPr>
                    <w:t xml:space="preserve">Treasury </w:t>
                  </w:r>
                  <w:r w:rsidR="00DB651A">
                    <w:rPr>
                      <w:rFonts w:eastAsiaTheme="minorHAnsi" w:cs="Arial"/>
                      <w:bCs/>
                      <w:sz w:val="22"/>
                      <w:szCs w:val="22"/>
                    </w:rPr>
                    <w:t>M</w:t>
                  </w:r>
                  <w:r>
                    <w:rPr>
                      <w:rFonts w:eastAsiaTheme="minorHAnsi" w:cs="Arial"/>
                      <w:bCs/>
                      <w:sz w:val="22"/>
                      <w:szCs w:val="22"/>
                    </w:rPr>
                    <w:t>anagement</w:t>
                  </w:r>
                </w:p>
              </w:tc>
            </w:tr>
            <w:tr w:rsidR="00D6780D" w14:paraId="07891055" w14:textId="77777777" w:rsidTr="002652DD">
              <w:tc>
                <w:tcPr>
                  <w:tcW w:w="2119" w:type="dxa"/>
                  <w:shd w:val="clear" w:color="auto" w:fill="DBE5F1" w:themeFill="accent1" w:themeFillTint="33"/>
                </w:tcPr>
                <w:p w14:paraId="4F2C7D13" w14:textId="7137B7A8" w:rsidR="00D6780D" w:rsidRDefault="002063CF" w:rsidP="00694C18">
                  <w:pPr>
                    <w:spacing w:after="200"/>
                    <w:contextualSpacing/>
                    <w:rPr>
                      <w:rFonts w:eastAsiaTheme="minorHAnsi" w:cs="Arial"/>
                      <w:b/>
                      <w:sz w:val="22"/>
                      <w:szCs w:val="22"/>
                    </w:rPr>
                  </w:pPr>
                  <w:r>
                    <w:rPr>
                      <w:rFonts w:eastAsiaTheme="minorHAnsi" w:cs="Arial"/>
                      <w:b/>
                      <w:sz w:val="22"/>
                      <w:szCs w:val="22"/>
                    </w:rPr>
                    <w:t>Adequate</w:t>
                  </w:r>
                </w:p>
              </w:tc>
              <w:tc>
                <w:tcPr>
                  <w:tcW w:w="7855" w:type="dxa"/>
                </w:tcPr>
                <w:p w14:paraId="4E8DE40E" w14:textId="77777777" w:rsidR="00D6780D" w:rsidRDefault="002063CF" w:rsidP="0052571D">
                  <w:pPr>
                    <w:pStyle w:val="ListParagraph"/>
                    <w:numPr>
                      <w:ilvl w:val="0"/>
                      <w:numId w:val="5"/>
                    </w:numPr>
                    <w:spacing w:after="200"/>
                    <w:contextualSpacing/>
                    <w:rPr>
                      <w:rFonts w:eastAsiaTheme="minorHAnsi" w:cs="Arial"/>
                      <w:bCs/>
                      <w:sz w:val="22"/>
                      <w:szCs w:val="22"/>
                    </w:rPr>
                  </w:pPr>
                  <w:r w:rsidRPr="002063CF">
                    <w:rPr>
                      <w:rFonts w:eastAsiaTheme="minorHAnsi" w:cs="Arial"/>
                      <w:bCs/>
                      <w:sz w:val="22"/>
                      <w:szCs w:val="22"/>
                    </w:rPr>
                    <w:t>Business Rates</w:t>
                  </w:r>
                </w:p>
                <w:p w14:paraId="638395C9" w14:textId="77777777" w:rsidR="002063CF" w:rsidRDefault="002063CF" w:rsidP="0052571D">
                  <w:pPr>
                    <w:pStyle w:val="ListParagraph"/>
                    <w:numPr>
                      <w:ilvl w:val="0"/>
                      <w:numId w:val="5"/>
                    </w:numPr>
                    <w:spacing w:after="200"/>
                    <w:contextualSpacing/>
                    <w:rPr>
                      <w:rFonts w:eastAsiaTheme="minorHAnsi" w:cs="Arial"/>
                      <w:bCs/>
                      <w:sz w:val="22"/>
                      <w:szCs w:val="22"/>
                    </w:rPr>
                  </w:pPr>
                  <w:r>
                    <w:rPr>
                      <w:rFonts w:eastAsiaTheme="minorHAnsi" w:cs="Arial"/>
                      <w:bCs/>
                      <w:sz w:val="22"/>
                      <w:szCs w:val="22"/>
                    </w:rPr>
                    <w:t>Disabled Facilities Grants</w:t>
                  </w:r>
                </w:p>
                <w:p w14:paraId="6F21744E" w14:textId="6CED0237" w:rsidR="002063CF" w:rsidRDefault="002063CF" w:rsidP="0052571D">
                  <w:pPr>
                    <w:pStyle w:val="ListParagraph"/>
                    <w:numPr>
                      <w:ilvl w:val="0"/>
                      <w:numId w:val="5"/>
                    </w:numPr>
                    <w:spacing w:after="200"/>
                    <w:contextualSpacing/>
                    <w:rPr>
                      <w:rFonts w:eastAsiaTheme="minorHAnsi" w:cs="Arial"/>
                      <w:bCs/>
                      <w:sz w:val="22"/>
                      <w:szCs w:val="22"/>
                    </w:rPr>
                  </w:pPr>
                  <w:r>
                    <w:rPr>
                      <w:rFonts w:eastAsiaTheme="minorHAnsi" w:cs="Arial"/>
                      <w:bCs/>
                      <w:sz w:val="22"/>
                      <w:szCs w:val="22"/>
                    </w:rPr>
                    <w:t xml:space="preserve">Performance </w:t>
                  </w:r>
                  <w:r w:rsidR="00DB651A">
                    <w:rPr>
                      <w:rFonts w:eastAsiaTheme="minorHAnsi" w:cs="Arial"/>
                      <w:bCs/>
                      <w:sz w:val="22"/>
                      <w:szCs w:val="22"/>
                    </w:rPr>
                    <w:t>M</w:t>
                  </w:r>
                  <w:r>
                    <w:rPr>
                      <w:rFonts w:eastAsiaTheme="minorHAnsi" w:cs="Arial"/>
                      <w:bCs/>
                      <w:sz w:val="22"/>
                      <w:szCs w:val="22"/>
                    </w:rPr>
                    <w:t xml:space="preserve">anagement / </w:t>
                  </w:r>
                  <w:r w:rsidR="00DB651A">
                    <w:rPr>
                      <w:rFonts w:eastAsiaTheme="minorHAnsi" w:cs="Arial"/>
                      <w:bCs/>
                      <w:sz w:val="22"/>
                      <w:szCs w:val="22"/>
                    </w:rPr>
                    <w:t>D</w:t>
                  </w:r>
                  <w:r>
                    <w:rPr>
                      <w:rFonts w:eastAsiaTheme="minorHAnsi" w:cs="Arial"/>
                      <w:bCs/>
                      <w:sz w:val="22"/>
                      <w:szCs w:val="22"/>
                    </w:rPr>
                    <w:t xml:space="preserve">ata </w:t>
                  </w:r>
                  <w:r w:rsidR="00DB651A">
                    <w:rPr>
                      <w:rFonts w:eastAsiaTheme="minorHAnsi" w:cs="Arial"/>
                      <w:bCs/>
                      <w:sz w:val="22"/>
                      <w:szCs w:val="22"/>
                    </w:rPr>
                    <w:t>Q</w:t>
                  </w:r>
                  <w:r>
                    <w:rPr>
                      <w:rFonts w:eastAsiaTheme="minorHAnsi" w:cs="Arial"/>
                      <w:bCs/>
                      <w:sz w:val="22"/>
                      <w:szCs w:val="22"/>
                    </w:rPr>
                    <w:t>uality</w:t>
                  </w:r>
                </w:p>
                <w:p w14:paraId="2BDD3835" w14:textId="14233C58" w:rsidR="002063CF" w:rsidRDefault="002063CF" w:rsidP="0052571D">
                  <w:pPr>
                    <w:pStyle w:val="ListParagraph"/>
                    <w:numPr>
                      <w:ilvl w:val="0"/>
                      <w:numId w:val="5"/>
                    </w:numPr>
                    <w:spacing w:after="200"/>
                    <w:contextualSpacing/>
                    <w:rPr>
                      <w:rFonts w:eastAsiaTheme="minorHAnsi" w:cs="Arial"/>
                      <w:bCs/>
                      <w:sz w:val="22"/>
                      <w:szCs w:val="22"/>
                    </w:rPr>
                  </w:pPr>
                  <w:r>
                    <w:rPr>
                      <w:rFonts w:eastAsiaTheme="minorHAnsi" w:cs="Arial"/>
                      <w:bCs/>
                      <w:sz w:val="22"/>
                      <w:szCs w:val="22"/>
                    </w:rPr>
                    <w:t xml:space="preserve">Overtime and </w:t>
                  </w:r>
                  <w:r w:rsidR="00DB651A">
                    <w:rPr>
                      <w:rFonts w:eastAsiaTheme="minorHAnsi" w:cs="Arial"/>
                      <w:bCs/>
                      <w:sz w:val="22"/>
                      <w:szCs w:val="22"/>
                    </w:rPr>
                    <w:t>E</w:t>
                  </w:r>
                  <w:r>
                    <w:rPr>
                      <w:rFonts w:eastAsiaTheme="minorHAnsi" w:cs="Arial"/>
                      <w:bCs/>
                      <w:sz w:val="22"/>
                      <w:szCs w:val="22"/>
                    </w:rPr>
                    <w:t>xpenses</w:t>
                  </w:r>
                </w:p>
                <w:p w14:paraId="134D6447" w14:textId="1BF1EA80" w:rsidR="002063CF" w:rsidRDefault="002063CF" w:rsidP="0052571D">
                  <w:pPr>
                    <w:pStyle w:val="ListParagraph"/>
                    <w:numPr>
                      <w:ilvl w:val="0"/>
                      <w:numId w:val="5"/>
                    </w:numPr>
                    <w:spacing w:after="200"/>
                    <w:contextualSpacing/>
                    <w:rPr>
                      <w:rFonts w:eastAsiaTheme="minorHAnsi" w:cs="Arial"/>
                      <w:bCs/>
                      <w:sz w:val="22"/>
                      <w:szCs w:val="22"/>
                    </w:rPr>
                  </w:pPr>
                  <w:r>
                    <w:rPr>
                      <w:rFonts w:eastAsiaTheme="minorHAnsi" w:cs="Arial"/>
                      <w:bCs/>
                      <w:sz w:val="22"/>
                      <w:szCs w:val="22"/>
                    </w:rPr>
                    <w:t xml:space="preserve">GDPR – </w:t>
                  </w:r>
                  <w:r w:rsidR="00DB651A">
                    <w:rPr>
                      <w:rFonts w:eastAsiaTheme="minorHAnsi" w:cs="Arial"/>
                      <w:bCs/>
                      <w:sz w:val="22"/>
                      <w:szCs w:val="22"/>
                    </w:rPr>
                    <w:t>R</w:t>
                  </w:r>
                  <w:r>
                    <w:rPr>
                      <w:rFonts w:eastAsiaTheme="minorHAnsi" w:cs="Arial"/>
                      <w:bCs/>
                      <w:sz w:val="22"/>
                      <w:szCs w:val="22"/>
                    </w:rPr>
                    <w:t xml:space="preserve">eview of </w:t>
                  </w:r>
                  <w:r w:rsidR="00DB651A">
                    <w:rPr>
                      <w:rFonts w:eastAsiaTheme="minorHAnsi" w:cs="Arial"/>
                      <w:bCs/>
                      <w:sz w:val="22"/>
                      <w:szCs w:val="22"/>
                    </w:rPr>
                    <w:t>D</w:t>
                  </w:r>
                  <w:r>
                    <w:rPr>
                      <w:rFonts w:eastAsiaTheme="minorHAnsi" w:cs="Arial"/>
                      <w:bCs/>
                      <w:sz w:val="22"/>
                      <w:szCs w:val="22"/>
                    </w:rPr>
                    <w:t xml:space="preserve">ata </w:t>
                  </w:r>
                  <w:r w:rsidR="00DB651A">
                    <w:rPr>
                      <w:rFonts w:eastAsiaTheme="minorHAnsi" w:cs="Arial"/>
                      <w:bCs/>
                      <w:sz w:val="22"/>
                      <w:szCs w:val="22"/>
                    </w:rPr>
                    <w:t>S</w:t>
                  </w:r>
                  <w:r>
                    <w:rPr>
                      <w:rFonts w:eastAsiaTheme="minorHAnsi" w:cs="Arial"/>
                      <w:bCs/>
                      <w:sz w:val="22"/>
                      <w:szCs w:val="22"/>
                    </w:rPr>
                    <w:t xml:space="preserve">haring </w:t>
                  </w:r>
                  <w:r w:rsidR="00DB651A">
                    <w:rPr>
                      <w:rFonts w:eastAsiaTheme="minorHAnsi" w:cs="Arial"/>
                      <w:bCs/>
                      <w:sz w:val="22"/>
                      <w:szCs w:val="22"/>
                    </w:rPr>
                    <w:t>A</w:t>
                  </w:r>
                  <w:r>
                    <w:rPr>
                      <w:rFonts w:eastAsiaTheme="minorHAnsi" w:cs="Arial"/>
                      <w:bCs/>
                      <w:sz w:val="22"/>
                      <w:szCs w:val="22"/>
                    </w:rPr>
                    <w:t>greements</w:t>
                  </w:r>
                </w:p>
                <w:p w14:paraId="0ABBCDF3" w14:textId="54F07C2F" w:rsidR="002063CF" w:rsidRDefault="002063CF" w:rsidP="0052571D">
                  <w:pPr>
                    <w:pStyle w:val="ListParagraph"/>
                    <w:numPr>
                      <w:ilvl w:val="0"/>
                      <w:numId w:val="5"/>
                    </w:numPr>
                    <w:spacing w:after="200"/>
                    <w:contextualSpacing/>
                    <w:rPr>
                      <w:rFonts w:eastAsiaTheme="minorHAnsi" w:cs="Arial"/>
                      <w:bCs/>
                      <w:sz w:val="22"/>
                      <w:szCs w:val="22"/>
                    </w:rPr>
                  </w:pPr>
                  <w:r>
                    <w:rPr>
                      <w:rFonts w:eastAsiaTheme="minorHAnsi" w:cs="Arial"/>
                      <w:bCs/>
                      <w:sz w:val="22"/>
                      <w:szCs w:val="22"/>
                    </w:rPr>
                    <w:t xml:space="preserve">Risk </w:t>
                  </w:r>
                  <w:r w:rsidR="00DB651A">
                    <w:rPr>
                      <w:rFonts w:eastAsiaTheme="minorHAnsi" w:cs="Arial"/>
                      <w:bCs/>
                      <w:sz w:val="22"/>
                      <w:szCs w:val="22"/>
                    </w:rPr>
                    <w:t>M</w:t>
                  </w:r>
                  <w:r>
                    <w:rPr>
                      <w:rFonts w:eastAsiaTheme="minorHAnsi" w:cs="Arial"/>
                      <w:bCs/>
                      <w:sz w:val="22"/>
                      <w:szCs w:val="22"/>
                    </w:rPr>
                    <w:t>anagement</w:t>
                  </w:r>
                </w:p>
                <w:p w14:paraId="5FE041E9" w14:textId="07956EED" w:rsidR="002063CF" w:rsidRDefault="002063CF" w:rsidP="0052571D">
                  <w:pPr>
                    <w:pStyle w:val="ListParagraph"/>
                    <w:numPr>
                      <w:ilvl w:val="0"/>
                      <w:numId w:val="5"/>
                    </w:numPr>
                    <w:spacing w:after="200"/>
                    <w:contextualSpacing/>
                    <w:rPr>
                      <w:rFonts w:eastAsiaTheme="minorHAnsi" w:cs="Arial"/>
                      <w:bCs/>
                      <w:sz w:val="22"/>
                      <w:szCs w:val="22"/>
                    </w:rPr>
                  </w:pPr>
                  <w:r>
                    <w:rPr>
                      <w:rFonts w:eastAsiaTheme="minorHAnsi" w:cs="Arial"/>
                      <w:bCs/>
                      <w:sz w:val="22"/>
                      <w:szCs w:val="22"/>
                    </w:rPr>
                    <w:t xml:space="preserve">Compliance with </w:t>
                  </w:r>
                  <w:r w:rsidR="00DB651A">
                    <w:rPr>
                      <w:rFonts w:eastAsiaTheme="minorHAnsi" w:cs="Arial"/>
                      <w:bCs/>
                      <w:sz w:val="22"/>
                      <w:szCs w:val="22"/>
                    </w:rPr>
                    <w:t>C</w:t>
                  </w:r>
                  <w:r>
                    <w:rPr>
                      <w:rFonts w:eastAsiaTheme="minorHAnsi" w:cs="Arial"/>
                      <w:bCs/>
                      <w:sz w:val="22"/>
                      <w:szCs w:val="22"/>
                    </w:rPr>
                    <w:t xml:space="preserve">ontract </w:t>
                  </w:r>
                  <w:r w:rsidR="00DB651A">
                    <w:rPr>
                      <w:rFonts w:eastAsiaTheme="minorHAnsi" w:cs="Arial"/>
                      <w:bCs/>
                      <w:sz w:val="22"/>
                      <w:szCs w:val="22"/>
                    </w:rPr>
                    <w:t>P</w:t>
                  </w:r>
                  <w:r>
                    <w:rPr>
                      <w:rFonts w:eastAsiaTheme="minorHAnsi" w:cs="Arial"/>
                      <w:bCs/>
                      <w:sz w:val="22"/>
                      <w:szCs w:val="22"/>
                    </w:rPr>
                    <w:t xml:space="preserve">rocedure </w:t>
                  </w:r>
                  <w:r w:rsidR="00DB651A">
                    <w:rPr>
                      <w:rFonts w:eastAsiaTheme="minorHAnsi" w:cs="Arial"/>
                      <w:bCs/>
                      <w:sz w:val="22"/>
                      <w:szCs w:val="22"/>
                    </w:rPr>
                    <w:t>R</w:t>
                  </w:r>
                  <w:r>
                    <w:rPr>
                      <w:rFonts w:eastAsiaTheme="minorHAnsi" w:cs="Arial"/>
                      <w:bCs/>
                      <w:sz w:val="22"/>
                      <w:szCs w:val="22"/>
                    </w:rPr>
                    <w:t>ules</w:t>
                  </w:r>
                </w:p>
                <w:p w14:paraId="78C70EA0" w14:textId="7AD62388" w:rsidR="002063CF" w:rsidRPr="002063CF" w:rsidRDefault="002063CF" w:rsidP="0052571D">
                  <w:pPr>
                    <w:pStyle w:val="ListParagraph"/>
                    <w:numPr>
                      <w:ilvl w:val="0"/>
                      <w:numId w:val="5"/>
                    </w:numPr>
                    <w:spacing w:after="200"/>
                    <w:contextualSpacing/>
                    <w:rPr>
                      <w:rFonts w:eastAsiaTheme="minorHAnsi" w:cs="Arial"/>
                      <w:bCs/>
                      <w:sz w:val="22"/>
                      <w:szCs w:val="22"/>
                    </w:rPr>
                  </w:pPr>
                  <w:r>
                    <w:rPr>
                      <w:rFonts w:eastAsiaTheme="minorHAnsi" w:cs="Arial"/>
                      <w:bCs/>
                      <w:sz w:val="22"/>
                      <w:szCs w:val="22"/>
                    </w:rPr>
                    <w:t xml:space="preserve">Income </w:t>
                  </w:r>
                  <w:r w:rsidR="00DB651A">
                    <w:rPr>
                      <w:rFonts w:eastAsiaTheme="minorHAnsi" w:cs="Arial"/>
                      <w:bCs/>
                      <w:sz w:val="22"/>
                      <w:szCs w:val="22"/>
                    </w:rPr>
                    <w:t>C</w:t>
                  </w:r>
                  <w:r>
                    <w:rPr>
                      <w:rFonts w:eastAsiaTheme="minorHAnsi" w:cs="Arial"/>
                      <w:bCs/>
                      <w:sz w:val="22"/>
                      <w:szCs w:val="22"/>
                    </w:rPr>
                    <w:t>ollection</w:t>
                  </w:r>
                </w:p>
              </w:tc>
            </w:tr>
            <w:tr w:rsidR="00D6780D" w14:paraId="641E9721" w14:textId="77777777" w:rsidTr="002652DD">
              <w:tc>
                <w:tcPr>
                  <w:tcW w:w="2119" w:type="dxa"/>
                  <w:shd w:val="clear" w:color="auto" w:fill="DBE5F1" w:themeFill="accent1" w:themeFillTint="33"/>
                </w:tcPr>
                <w:p w14:paraId="30443844" w14:textId="42958B3B" w:rsidR="00D6780D" w:rsidRDefault="002063CF" w:rsidP="00694C18">
                  <w:pPr>
                    <w:spacing w:after="200"/>
                    <w:contextualSpacing/>
                    <w:rPr>
                      <w:rFonts w:eastAsiaTheme="minorHAnsi" w:cs="Arial"/>
                      <w:b/>
                      <w:sz w:val="22"/>
                      <w:szCs w:val="22"/>
                    </w:rPr>
                  </w:pPr>
                  <w:r>
                    <w:rPr>
                      <w:rFonts w:eastAsiaTheme="minorHAnsi" w:cs="Arial"/>
                      <w:b/>
                      <w:sz w:val="22"/>
                      <w:szCs w:val="22"/>
                    </w:rPr>
                    <w:t>Limited</w:t>
                  </w:r>
                </w:p>
              </w:tc>
              <w:tc>
                <w:tcPr>
                  <w:tcW w:w="7855" w:type="dxa"/>
                </w:tcPr>
                <w:p w14:paraId="742D7D2A" w14:textId="49294B46" w:rsidR="00D6780D" w:rsidRDefault="002063CF" w:rsidP="0052571D">
                  <w:pPr>
                    <w:pStyle w:val="ListParagraph"/>
                    <w:numPr>
                      <w:ilvl w:val="0"/>
                      <w:numId w:val="4"/>
                    </w:numPr>
                    <w:spacing w:after="200"/>
                    <w:contextualSpacing/>
                    <w:rPr>
                      <w:rFonts w:eastAsiaTheme="minorHAnsi" w:cs="Arial"/>
                      <w:bCs/>
                      <w:sz w:val="22"/>
                      <w:szCs w:val="22"/>
                    </w:rPr>
                  </w:pPr>
                  <w:r w:rsidRPr="002063CF">
                    <w:rPr>
                      <w:rFonts w:eastAsiaTheme="minorHAnsi" w:cs="Arial"/>
                      <w:bCs/>
                      <w:sz w:val="22"/>
                      <w:szCs w:val="22"/>
                    </w:rPr>
                    <w:t>Health and Wellbeing Campus</w:t>
                  </w:r>
                  <w:r w:rsidR="00644323">
                    <w:rPr>
                      <w:rFonts w:eastAsiaTheme="minorHAnsi" w:cs="Arial"/>
                      <w:bCs/>
                      <w:sz w:val="22"/>
                      <w:szCs w:val="22"/>
                    </w:rPr>
                    <w:t xml:space="preserve"> (redrafting of report from 19-20)</w:t>
                  </w:r>
                </w:p>
                <w:p w14:paraId="6D956F59" w14:textId="7E9110F9" w:rsidR="002063CF" w:rsidRDefault="00DB651A" w:rsidP="0052571D">
                  <w:pPr>
                    <w:pStyle w:val="ListParagraph"/>
                    <w:numPr>
                      <w:ilvl w:val="0"/>
                      <w:numId w:val="4"/>
                    </w:numPr>
                    <w:spacing w:after="200"/>
                    <w:contextualSpacing/>
                    <w:rPr>
                      <w:rFonts w:eastAsiaTheme="minorHAnsi" w:cs="Arial"/>
                      <w:bCs/>
                      <w:sz w:val="22"/>
                      <w:szCs w:val="22"/>
                    </w:rPr>
                  </w:pPr>
                  <w:r>
                    <w:rPr>
                      <w:rFonts w:eastAsiaTheme="minorHAnsi" w:cs="Arial"/>
                      <w:bCs/>
                      <w:sz w:val="22"/>
                      <w:szCs w:val="22"/>
                    </w:rPr>
                    <w:t>Council</w:t>
                  </w:r>
                  <w:r w:rsidR="002063CF">
                    <w:rPr>
                      <w:rFonts w:eastAsiaTheme="minorHAnsi" w:cs="Arial"/>
                      <w:bCs/>
                      <w:sz w:val="22"/>
                      <w:szCs w:val="22"/>
                    </w:rPr>
                    <w:t xml:space="preserve"> Tax</w:t>
                  </w:r>
                </w:p>
                <w:p w14:paraId="2238EC6B" w14:textId="0650A583" w:rsidR="002063CF" w:rsidRDefault="002063CF" w:rsidP="0052571D">
                  <w:pPr>
                    <w:pStyle w:val="ListParagraph"/>
                    <w:numPr>
                      <w:ilvl w:val="0"/>
                      <w:numId w:val="4"/>
                    </w:numPr>
                    <w:spacing w:after="200"/>
                    <w:contextualSpacing/>
                    <w:rPr>
                      <w:rFonts w:eastAsiaTheme="minorHAnsi" w:cs="Arial"/>
                      <w:bCs/>
                      <w:sz w:val="22"/>
                      <w:szCs w:val="22"/>
                    </w:rPr>
                  </w:pPr>
                  <w:r>
                    <w:rPr>
                      <w:rFonts w:eastAsiaTheme="minorHAnsi" w:cs="Arial"/>
                      <w:bCs/>
                      <w:sz w:val="22"/>
                      <w:szCs w:val="22"/>
                    </w:rPr>
                    <w:t xml:space="preserve">Neighbourhood </w:t>
                  </w:r>
                  <w:r w:rsidR="00DB651A">
                    <w:rPr>
                      <w:rFonts w:eastAsiaTheme="minorHAnsi" w:cs="Arial"/>
                      <w:bCs/>
                      <w:sz w:val="22"/>
                      <w:szCs w:val="22"/>
                    </w:rPr>
                    <w:t>R</w:t>
                  </w:r>
                  <w:r>
                    <w:rPr>
                      <w:rFonts w:eastAsiaTheme="minorHAnsi" w:cs="Arial"/>
                      <w:bCs/>
                      <w:sz w:val="22"/>
                      <w:szCs w:val="22"/>
                    </w:rPr>
                    <w:t xml:space="preserve">ecord </w:t>
                  </w:r>
                  <w:r w:rsidR="00DB651A">
                    <w:rPr>
                      <w:rFonts w:eastAsiaTheme="minorHAnsi" w:cs="Arial"/>
                      <w:bCs/>
                      <w:sz w:val="22"/>
                      <w:szCs w:val="22"/>
                    </w:rPr>
                    <w:t>M</w:t>
                  </w:r>
                  <w:r>
                    <w:rPr>
                      <w:rFonts w:eastAsiaTheme="minorHAnsi" w:cs="Arial"/>
                      <w:bCs/>
                      <w:sz w:val="22"/>
                      <w:szCs w:val="22"/>
                    </w:rPr>
                    <w:t>anagement</w:t>
                  </w:r>
                </w:p>
                <w:p w14:paraId="442F42B3" w14:textId="5A52C595" w:rsidR="002063CF" w:rsidRPr="002063CF" w:rsidRDefault="002063CF" w:rsidP="0052571D">
                  <w:pPr>
                    <w:pStyle w:val="ListParagraph"/>
                    <w:numPr>
                      <w:ilvl w:val="0"/>
                      <w:numId w:val="4"/>
                    </w:numPr>
                    <w:spacing w:after="200"/>
                    <w:contextualSpacing/>
                    <w:rPr>
                      <w:rFonts w:eastAsiaTheme="minorHAnsi" w:cs="Arial"/>
                      <w:bCs/>
                      <w:sz w:val="22"/>
                      <w:szCs w:val="22"/>
                    </w:rPr>
                  </w:pPr>
                  <w:r>
                    <w:rPr>
                      <w:rFonts w:eastAsiaTheme="minorHAnsi" w:cs="Arial"/>
                      <w:bCs/>
                      <w:sz w:val="22"/>
                      <w:szCs w:val="22"/>
                    </w:rPr>
                    <w:t xml:space="preserve">Facilities and Building </w:t>
                  </w:r>
                  <w:r w:rsidR="00DB651A">
                    <w:rPr>
                      <w:rFonts w:eastAsiaTheme="minorHAnsi" w:cs="Arial"/>
                      <w:bCs/>
                      <w:sz w:val="22"/>
                      <w:szCs w:val="22"/>
                    </w:rPr>
                    <w:t>M</w:t>
                  </w:r>
                  <w:r>
                    <w:rPr>
                      <w:rFonts w:eastAsiaTheme="minorHAnsi" w:cs="Arial"/>
                      <w:bCs/>
                      <w:sz w:val="22"/>
                      <w:szCs w:val="22"/>
                    </w:rPr>
                    <w:t>anagement</w:t>
                  </w:r>
                </w:p>
              </w:tc>
            </w:tr>
          </w:tbl>
          <w:p w14:paraId="7781BA15" w14:textId="25DCE2B6" w:rsidR="009D7395" w:rsidRPr="009D7395" w:rsidRDefault="00D6780D" w:rsidP="009D7395">
            <w:pPr>
              <w:spacing w:after="200" w:line="276" w:lineRule="auto"/>
              <w:contextualSpacing/>
              <w:rPr>
                <w:rFonts w:eastAsiaTheme="minorHAnsi" w:cs="Arial"/>
                <w:b/>
                <w:sz w:val="22"/>
                <w:szCs w:val="22"/>
              </w:rPr>
            </w:pPr>
            <w:r>
              <w:rPr>
                <w:rFonts w:eastAsiaTheme="minorHAnsi" w:cs="Arial"/>
                <w:b/>
                <w:sz w:val="22"/>
                <w:szCs w:val="22"/>
              </w:rPr>
              <w:t xml:space="preserve"> </w:t>
            </w:r>
          </w:p>
        </w:tc>
      </w:tr>
      <w:tr w:rsidR="009D7395" w:rsidRPr="00BE632F" w14:paraId="217B73E6" w14:textId="77777777" w:rsidTr="00B11059">
        <w:tc>
          <w:tcPr>
            <w:tcW w:w="461" w:type="dxa"/>
          </w:tcPr>
          <w:p w14:paraId="360B9FAF" w14:textId="054C1501" w:rsidR="009D7395" w:rsidRDefault="006B2AB0" w:rsidP="00B11059">
            <w:pPr>
              <w:jc w:val="both"/>
              <w:rPr>
                <w:rFonts w:cs="Arial"/>
                <w:sz w:val="22"/>
                <w:szCs w:val="22"/>
              </w:rPr>
            </w:pPr>
            <w:r>
              <w:rPr>
                <w:rFonts w:cs="Arial"/>
                <w:sz w:val="22"/>
                <w:szCs w:val="22"/>
              </w:rPr>
              <w:t>1</w:t>
            </w:r>
            <w:r w:rsidR="00BF3F33">
              <w:rPr>
                <w:rFonts w:cs="Arial"/>
                <w:sz w:val="22"/>
                <w:szCs w:val="22"/>
              </w:rPr>
              <w:t>6</w:t>
            </w:r>
          </w:p>
        </w:tc>
        <w:tc>
          <w:tcPr>
            <w:tcW w:w="10200" w:type="dxa"/>
          </w:tcPr>
          <w:p w14:paraId="572D5DC2" w14:textId="14C846D1" w:rsidR="009D7395" w:rsidRDefault="002063CF" w:rsidP="00B11059">
            <w:pPr>
              <w:jc w:val="both"/>
              <w:rPr>
                <w:sz w:val="22"/>
                <w:szCs w:val="22"/>
              </w:rPr>
            </w:pPr>
            <w:r>
              <w:rPr>
                <w:sz w:val="22"/>
                <w:szCs w:val="22"/>
              </w:rPr>
              <w:t>Internal Audit have also issued the following reports</w:t>
            </w:r>
            <w:r w:rsidR="00694C18">
              <w:rPr>
                <w:sz w:val="22"/>
                <w:szCs w:val="22"/>
              </w:rPr>
              <w:t xml:space="preserve"> / provided assurance which </w:t>
            </w:r>
            <w:r w:rsidR="006B2AB0">
              <w:rPr>
                <w:sz w:val="22"/>
                <w:szCs w:val="22"/>
              </w:rPr>
              <w:t xml:space="preserve">do </w:t>
            </w:r>
            <w:r w:rsidR="00193274">
              <w:rPr>
                <w:sz w:val="22"/>
                <w:szCs w:val="22"/>
              </w:rPr>
              <w:t xml:space="preserve">not </w:t>
            </w:r>
            <w:r w:rsidR="00694C18">
              <w:rPr>
                <w:sz w:val="22"/>
                <w:szCs w:val="22"/>
              </w:rPr>
              <w:t>include a formal assurance rating:</w:t>
            </w:r>
          </w:p>
          <w:p w14:paraId="1B74CA1E" w14:textId="6A7A9CB0" w:rsidR="00694C18" w:rsidRDefault="00694C18" w:rsidP="00B11059">
            <w:pPr>
              <w:jc w:val="both"/>
              <w:rPr>
                <w:sz w:val="22"/>
                <w:szCs w:val="22"/>
              </w:rPr>
            </w:pPr>
          </w:p>
          <w:p w14:paraId="7CDA0A30" w14:textId="05E7668E" w:rsidR="00694C18" w:rsidRDefault="00694C18" w:rsidP="0052571D">
            <w:pPr>
              <w:pStyle w:val="ListParagraph"/>
              <w:numPr>
                <w:ilvl w:val="0"/>
                <w:numId w:val="8"/>
              </w:numPr>
              <w:jc w:val="both"/>
              <w:rPr>
                <w:sz w:val="22"/>
                <w:szCs w:val="22"/>
              </w:rPr>
            </w:pPr>
            <w:r>
              <w:rPr>
                <w:sz w:val="22"/>
                <w:szCs w:val="22"/>
              </w:rPr>
              <w:t>Annual Governance Statement review to identify themes for inclusion in the AGS action plan;</w:t>
            </w:r>
          </w:p>
          <w:p w14:paraId="195600E6" w14:textId="1A37AEDD" w:rsidR="00694C18" w:rsidRDefault="00694C18" w:rsidP="0052571D">
            <w:pPr>
              <w:pStyle w:val="ListParagraph"/>
              <w:numPr>
                <w:ilvl w:val="0"/>
                <w:numId w:val="8"/>
              </w:numPr>
              <w:jc w:val="both"/>
              <w:rPr>
                <w:sz w:val="22"/>
                <w:szCs w:val="22"/>
              </w:rPr>
            </w:pPr>
            <w:r>
              <w:rPr>
                <w:sz w:val="22"/>
                <w:szCs w:val="22"/>
              </w:rPr>
              <w:t>COVID grant assurance returns for the Department for Business Energy and Industrial Strategy (BEIS);</w:t>
            </w:r>
          </w:p>
          <w:p w14:paraId="653C17A5" w14:textId="1F78E80F" w:rsidR="00694C18" w:rsidRDefault="00694C18" w:rsidP="0052571D">
            <w:pPr>
              <w:pStyle w:val="ListParagraph"/>
              <w:numPr>
                <w:ilvl w:val="0"/>
                <w:numId w:val="8"/>
              </w:numPr>
              <w:jc w:val="both"/>
              <w:rPr>
                <w:sz w:val="22"/>
                <w:szCs w:val="22"/>
              </w:rPr>
            </w:pPr>
            <w:r>
              <w:rPr>
                <w:sz w:val="22"/>
                <w:szCs w:val="22"/>
              </w:rPr>
              <w:t xml:space="preserve">National Fraud </w:t>
            </w:r>
            <w:r w:rsidR="00AF1A33">
              <w:rPr>
                <w:sz w:val="22"/>
                <w:szCs w:val="22"/>
              </w:rPr>
              <w:t>Initiative</w:t>
            </w:r>
            <w:r>
              <w:rPr>
                <w:sz w:val="22"/>
                <w:szCs w:val="22"/>
              </w:rPr>
              <w:t xml:space="preserve"> review of matches;</w:t>
            </w:r>
          </w:p>
          <w:p w14:paraId="68E0FFC4" w14:textId="70C34C5C" w:rsidR="00694C18" w:rsidRDefault="00694C18" w:rsidP="0052571D">
            <w:pPr>
              <w:pStyle w:val="ListParagraph"/>
              <w:numPr>
                <w:ilvl w:val="0"/>
                <w:numId w:val="8"/>
              </w:numPr>
              <w:jc w:val="both"/>
              <w:rPr>
                <w:sz w:val="22"/>
                <w:szCs w:val="22"/>
              </w:rPr>
            </w:pPr>
            <w:r>
              <w:rPr>
                <w:sz w:val="22"/>
                <w:szCs w:val="22"/>
              </w:rPr>
              <w:lastRenderedPageBreak/>
              <w:t xml:space="preserve">ICT Audit </w:t>
            </w:r>
            <w:r w:rsidR="00DB651A">
              <w:rPr>
                <w:sz w:val="22"/>
                <w:szCs w:val="22"/>
              </w:rPr>
              <w:t>N</w:t>
            </w:r>
            <w:r>
              <w:rPr>
                <w:sz w:val="22"/>
                <w:szCs w:val="22"/>
              </w:rPr>
              <w:t xml:space="preserve">eeds </w:t>
            </w:r>
            <w:r w:rsidR="00DB651A">
              <w:rPr>
                <w:sz w:val="22"/>
                <w:szCs w:val="22"/>
              </w:rPr>
              <w:t>A</w:t>
            </w:r>
            <w:r>
              <w:rPr>
                <w:sz w:val="22"/>
                <w:szCs w:val="22"/>
              </w:rPr>
              <w:t>ssessment;</w:t>
            </w:r>
          </w:p>
          <w:p w14:paraId="3CE7F7EB" w14:textId="5100DF69" w:rsidR="00694C18" w:rsidRDefault="00694C18" w:rsidP="0052571D">
            <w:pPr>
              <w:pStyle w:val="ListParagraph"/>
              <w:numPr>
                <w:ilvl w:val="0"/>
                <w:numId w:val="8"/>
              </w:numPr>
              <w:jc w:val="both"/>
              <w:rPr>
                <w:sz w:val="22"/>
                <w:szCs w:val="22"/>
              </w:rPr>
            </w:pPr>
            <w:r w:rsidRPr="00694C18">
              <w:rPr>
                <w:sz w:val="22"/>
                <w:szCs w:val="22"/>
              </w:rPr>
              <w:t xml:space="preserve">Health and Safety </w:t>
            </w:r>
            <w:r w:rsidR="00DB651A">
              <w:rPr>
                <w:sz w:val="22"/>
                <w:szCs w:val="22"/>
              </w:rPr>
              <w:t>R</w:t>
            </w:r>
            <w:r w:rsidRPr="00694C18">
              <w:rPr>
                <w:sz w:val="22"/>
                <w:szCs w:val="22"/>
              </w:rPr>
              <w:t xml:space="preserve">eview of other </w:t>
            </w:r>
            <w:r w:rsidR="00DB651A">
              <w:rPr>
                <w:sz w:val="22"/>
                <w:szCs w:val="22"/>
              </w:rPr>
              <w:t>Council</w:t>
            </w:r>
            <w:r w:rsidRPr="00694C18">
              <w:rPr>
                <w:sz w:val="22"/>
                <w:szCs w:val="22"/>
              </w:rPr>
              <w:t xml:space="preserve"> owned buildings (work undertaken in </w:t>
            </w:r>
            <w:r w:rsidR="00AF1A33" w:rsidRPr="00694C18">
              <w:rPr>
                <w:sz w:val="22"/>
                <w:szCs w:val="22"/>
              </w:rPr>
              <w:t>conjunction</w:t>
            </w:r>
            <w:r w:rsidRPr="00694C18">
              <w:rPr>
                <w:sz w:val="22"/>
                <w:szCs w:val="22"/>
              </w:rPr>
              <w:t xml:space="preserve"> with the </w:t>
            </w:r>
            <w:r w:rsidR="00DB651A">
              <w:rPr>
                <w:sz w:val="22"/>
                <w:szCs w:val="22"/>
              </w:rPr>
              <w:t>Council</w:t>
            </w:r>
            <w:r w:rsidRPr="00694C18">
              <w:rPr>
                <w:sz w:val="22"/>
                <w:szCs w:val="22"/>
              </w:rPr>
              <w:t xml:space="preserve"> </w:t>
            </w:r>
            <w:r w:rsidR="00DB651A">
              <w:rPr>
                <w:sz w:val="22"/>
                <w:szCs w:val="22"/>
              </w:rPr>
              <w:t>H</w:t>
            </w:r>
            <w:r w:rsidRPr="00694C18">
              <w:rPr>
                <w:sz w:val="22"/>
                <w:szCs w:val="22"/>
              </w:rPr>
              <w:t xml:space="preserve">ealth and </w:t>
            </w:r>
            <w:r w:rsidR="00DB651A">
              <w:rPr>
                <w:sz w:val="22"/>
                <w:szCs w:val="22"/>
              </w:rPr>
              <w:t>S</w:t>
            </w:r>
            <w:r w:rsidRPr="00694C18">
              <w:rPr>
                <w:sz w:val="22"/>
                <w:szCs w:val="22"/>
              </w:rPr>
              <w:t>afety team).</w:t>
            </w:r>
          </w:p>
          <w:p w14:paraId="65C3BECC" w14:textId="7C6B56A5" w:rsidR="00AF1A33" w:rsidRPr="002063CF" w:rsidRDefault="00AF1A33" w:rsidP="00AF1A33">
            <w:pPr>
              <w:pStyle w:val="ListParagraph"/>
              <w:jc w:val="both"/>
              <w:rPr>
                <w:sz w:val="22"/>
                <w:szCs w:val="22"/>
              </w:rPr>
            </w:pPr>
          </w:p>
        </w:tc>
      </w:tr>
      <w:tr w:rsidR="00694C18" w:rsidRPr="00BE632F" w14:paraId="55E191E3" w14:textId="77777777" w:rsidTr="00B11059">
        <w:tc>
          <w:tcPr>
            <w:tcW w:w="461" w:type="dxa"/>
          </w:tcPr>
          <w:p w14:paraId="3684BF78" w14:textId="536E6840" w:rsidR="00694C18" w:rsidRDefault="00694C18" w:rsidP="00B11059">
            <w:pPr>
              <w:jc w:val="both"/>
              <w:rPr>
                <w:rFonts w:cs="Arial"/>
                <w:sz w:val="22"/>
                <w:szCs w:val="22"/>
              </w:rPr>
            </w:pPr>
            <w:r>
              <w:rPr>
                <w:rFonts w:cs="Arial"/>
                <w:sz w:val="22"/>
                <w:szCs w:val="22"/>
              </w:rPr>
              <w:lastRenderedPageBreak/>
              <w:t>1</w:t>
            </w:r>
            <w:r w:rsidR="00BF3F33">
              <w:rPr>
                <w:rFonts w:cs="Arial"/>
                <w:sz w:val="22"/>
                <w:szCs w:val="22"/>
              </w:rPr>
              <w:t>7</w:t>
            </w:r>
          </w:p>
        </w:tc>
        <w:tc>
          <w:tcPr>
            <w:tcW w:w="10200" w:type="dxa"/>
          </w:tcPr>
          <w:p w14:paraId="2CA1FEE6" w14:textId="363202BB" w:rsidR="00EF2907" w:rsidRDefault="00EF2907" w:rsidP="00AF1A33">
            <w:pPr>
              <w:jc w:val="both"/>
              <w:rPr>
                <w:sz w:val="22"/>
                <w:szCs w:val="22"/>
              </w:rPr>
            </w:pPr>
            <w:r w:rsidRPr="00EF2907">
              <w:rPr>
                <w:sz w:val="22"/>
                <w:szCs w:val="22"/>
              </w:rPr>
              <w:t xml:space="preserve">The </w:t>
            </w:r>
            <w:r>
              <w:rPr>
                <w:sz w:val="22"/>
                <w:szCs w:val="22"/>
              </w:rPr>
              <w:t xml:space="preserve">Internal Audit Team and the Service Lead Audit and Risk </w:t>
            </w:r>
            <w:r w:rsidRPr="00EF2907">
              <w:rPr>
                <w:sz w:val="22"/>
                <w:szCs w:val="22"/>
              </w:rPr>
              <w:t>ha</w:t>
            </w:r>
            <w:r>
              <w:rPr>
                <w:sz w:val="22"/>
                <w:szCs w:val="22"/>
              </w:rPr>
              <w:t>ve</w:t>
            </w:r>
            <w:r w:rsidRPr="00EF2907">
              <w:rPr>
                <w:sz w:val="22"/>
                <w:szCs w:val="22"/>
              </w:rPr>
              <w:t xml:space="preserve"> also participated in </w:t>
            </w:r>
            <w:proofErr w:type="gramStart"/>
            <w:r w:rsidRPr="00EF2907">
              <w:rPr>
                <w:sz w:val="22"/>
                <w:szCs w:val="22"/>
              </w:rPr>
              <w:t>a number of</w:t>
            </w:r>
            <w:proofErr w:type="gramEnd"/>
            <w:r w:rsidRPr="00EF2907">
              <w:rPr>
                <w:sz w:val="22"/>
                <w:szCs w:val="22"/>
              </w:rPr>
              <w:t xml:space="preserve"> corporate groups and initiatives throughout the year in order to provide support and advice on a variety of risk and control issues. These include:</w:t>
            </w:r>
          </w:p>
          <w:p w14:paraId="09B2C4F2" w14:textId="2A3A3282" w:rsidR="00EF2907" w:rsidRDefault="00EF2907" w:rsidP="00AF1A33">
            <w:pPr>
              <w:jc w:val="both"/>
              <w:rPr>
                <w:sz w:val="22"/>
                <w:szCs w:val="22"/>
              </w:rPr>
            </w:pPr>
          </w:p>
          <w:p w14:paraId="15B080B8" w14:textId="2A98E89D" w:rsidR="00EF2907" w:rsidRDefault="00EF2907" w:rsidP="0052571D">
            <w:pPr>
              <w:pStyle w:val="ListParagraph"/>
              <w:numPr>
                <w:ilvl w:val="0"/>
                <w:numId w:val="10"/>
              </w:numPr>
              <w:jc w:val="both"/>
              <w:rPr>
                <w:sz w:val="22"/>
                <w:szCs w:val="22"/>
              </w:rPr>
            </w:pPr>
            <w:r>
              <w:rPr>
                <w:sz w:val="22"/>
                <w:szCs w:val="22"/>
              </w:rPr>
              <w:t>Membership of the Senior Leadership Team</w:t>
            </w:r>
            <w:r w:rsidR="00BD1A52">
              <w:rPr>
                <w:sz w:val="22"/>
                <w:szCs w:val="22"/>
              </w:rPr>
              <w:t>;</w:t>
            </w:r>
          </w:p>
          <w:p w14:paraId="527C7218" w14:textId="47209F49" w:rsidR="00AF1A33" w:rsidRPr="00EF2907" w:rsidRDefault="00EF2907" w:rsidP="0052571D">
            <w:pPr>
              <w:pStyle w:val="ListParagraph"/>
              <w:numPr>
                <w:ilvl w:val="0"/>
                <w:numId w:val="10"/>
              </w:numPr>
              <w:jc w:val="both"/>
              <w:rPr>
                <w:sz w:val="22"/>
                <w:szCs w:val="22"/>
              </w:rPr>
            </w:pPr>
            <w:r w:rsidRPr="00EF2907">
              <w:rPr>
                <w:sz w:val="22"/>
                <w:szCs w:val="22"/>
              </w:rPr>
              <w:t>Member of the officer Corporate Governance Group</w:t>
            </w:r>
            <w:r w:rsidR="00BD1A52">
              <w:rPr>
                <w:sz w:val="22"/>
                <w:szCs w:val="22"/>
              </w:rPr>
              <w:t>;</w:t>
            </w:r>
          </w:p>
          <w:p w14:paraId="6CA71D18" w14:textId="77777777" w:rsidR="00AF1A33" w:rsidRDefault="00AF1A33" w:rsidP="0052571D">
            <w:pPr>
              <w:pStyle w:val="ListParagraph"/>
              <w:numPr>
                <w:ilvl w:val="0"/>
                <w:numId w:val="9"/>
              </w:numPr>
              <w:jc w:val="both"/>
              <w:rPr>
                <w:sz w:val="22"/>
                <w:szCs w:val="22"/>
              </w:rPr>
            </w:pPr>
            <w:r>
              <w:rPr>
                <w:sz w:val="22"/>
                <w:szCs w:val="22"/>
              </w:rPr>
              <w:t>Customer Services Transformation project;</w:t>
            </w:r>
          </w:p>
          <w:p w14:paraId="3BB0A383" w14:textId="071192BF" w:rsidR="00AF1A33" w:rsidRDefault="00AF1A33" w:rsidP="0052571D">
            <w:pPr>
              <w:pStyle w:val="ListParagraph"/>
              <w:numPr>
                <w:ilvl w:val="0"/>
                <w:numId w:val="9"/>
              </w:numPr>
              <w:jc w:val="both"/>
              <w:rPr>
                <w:sz w:val="22"/>
                <w:szCs w:val="22"/>
              </w:rPr>
            </w:pPr>
            <w:r>
              <w:rPr>
                <w:sz w:val="22"/>
                <w:szCs w:val="22"/>
              </w:rPr>
              <w:t>Commercial and Property projects (as and when required)</w:t>
            </w:r>
            <w:r w:rsidR="00BD1A52">
              <w:rPr>
                <w:sz w:val="22"/>
                <w:szCs w:val="22"/>
              </w:rPr>
              <w:t>;</w:t>
            </w:r>
          </w:p>
          <w:p w14:paraId="0718A4FA" w14:textId="29879098" w:rsidR="00AF1A33" w:rsidRDefault="00AF1A33" w:rsidP="0052571D">
            <w:pPr>
              <w:pStyle w:val="ListParagraph"/>
              <w:numPr>
                <w:ilvl w:val="0"/>
                <w:numId w:val="9"/>
              </w:numPr>
              <w:jc w:val="both"/>
              <w:rPr>
                <w:sz w:val="22"/>
                <w:szCs w:val="22"/>
              </w:rPr>
            </w:pPr>
            <w:r>
              <w:rPr>
                <w:sz w:val="22"/>
                <w:szCs w:val="22"/>
              </w:rPr>
              <w:t>Human Resources Transformation project.</w:t>
            </w:r>
          </w:p>
          <w:p w14:paraId="50C2DBB4" w14:textId="77777777" w:rsidR="00DB651A" w:rsidRDefault="00DB651A" w:rsidP="00DB651A">
            <w:pPr>
              <w:pStyle w:val="ListParagraph"/>
              <w:jc w:val="both"/>
              <w:rPr>
                <w:sz w:val="22"/>
                <w:szCs w:val="22"/>
              </w:rPr>
            </w:pPr>
          </w:p>
          <w:p w14:paraId="4EDF3F6F" w14:textId="48376E05" w:rsidR="006B2AB0" w:rsidRDefault="00AF1A33" w:rsidP="00AF1A33">
            <w:pPr>
              <w:pStyle w:val="ListParagraph"/>
              <w:ind w:left="0"/>
              <w:jc w:val="both"/>
              <w:rPr>
                <w:sz w:val="22"/>
                <w:szCs w:val="22"/>
              </w:rPr>
            </w:pPr>
            <w:r>
              <w:rPr>
                <w:sz w:val="22"/>
                <w:szCs w:val="22"/>
              </w:rPr>
              <w:t xml:space="preserve">Internal Audit also </w:t>
            </w:r>
            <w:r w:rsidR="006B2AB0">
              <w:rPr>
                <w:sz w:val="22"/>
                <w:szCs w:val="22"/>
              </w:rPr>
              <w:t>disseminate</w:t>
            </w:r>
            <w:r>
              <w:rPr>
                <w:sz w:val="22"/>
                <w:szCs w:val="22"/>
              </w:rPr>
              <w:t xml:space="preserve"> fraud alerts to relevant officers and </w:t>
            </w:r>
            <w:r w:rsidR="006B2AB0">
              <w:rPr>
                <w:sz w:val="22"/>
                <w:szCs w:val="22"/>
              </w:rPr>
              <w:t xml:space="preserve">manage accessibility to the </w:t>
            </w:r>
            <w:r>
              <w:rPr>
                <w:sz w:val="22"/>
                <w:szCs w:val="22"/>
              </w:rPr>
              <w:t xml:space="preserve">National </w:t>
            </w:r>
            <w:r w:rsidR="006B2AB0">
              <w:rPr>
                <w:sz w:val="22"/>
                <w:szCs w:val="22"/>
              </w:rPr>
              <w:t>Anti-Fraud</w:t>
            </w:r>
            <w:r>
              <w:rPr>
                <w:sz w:val="22"/>
                <w:szCs w:val="22"/>
              </w:rPr>
              <w:t xml:space="preserve"> Network (NAFN).</w:t>
            </w:r>
            <w:r w:rsidR="006B2AB0">
              <w:rPr>
                <w:sz w:val="22"/>
                <w:szCs w:val="22"/>
              </w:rPr>
              <w:t xml:space="preserve">  </w:t>
            </w:r>
          </w:p>
          <w:p w14:paraId="0BA901D1" w14:textId="77777777" w:rsidR="00DB651A" w:rsidRDefault="00DB651A" w:rsidP="00AF1A33">
            <w:pPr>
              <w:pStyle w:val="ListParagraph"/>
              <w:ind w:left="0"/>
              <w:jc w:val="both"/>
              <w:rPr>
                <w:sz w:val="22"/>
                <w:szCs w:val="22"/>
              </w:rPr>
            </w:pPr>
          </w:p>
          <w:p w14:paraId="5912C12E" w14:textId="4C656FA8" w:rsidR="00AF1A33" w:rsidRDefault="006B2AB0" w:rsidP="00AF1A33">
            <w:pPr>
              <w:pStyle w:val="ListParagraph"/>
              <w:ind w:left="0"/>
              <w:jc w:val="both"/>
              <w:rPr>
                <w:sz w:val="22"/>
                <w:szCs w:val="22"/>
              </w:rPr>
            </w:pPr>
            <w:r>
              <w:rPr>
                <w:sz w:val="22"/>
                <w:szCs w:val="22"/>
              </w:rPr>
              <w:t xml:space="preserve">Full details of all the work undertaken is included at </w:t>
            </w:r>
            <w:r w:rsidRPr="00145A2A">
              <w:rPr>
                <w:b/>
                <w:bCs/>
                <w:sz w:val="22"/>
                <w:szCs w:val="22"/>
              </w:rPr>
              <w:t>Appendix</w:t>
            </w:r>
            <w:r w:rsidR="0029533E">
              <w:rPr>
                <w:b/>
                <w:bCs/>
                <w:sz w:val="22"/>
                <w:szCs w:val="22"/>
              </w:rPr>
              <w:t xml:space="preserve"> B</w:t>
            </w:r>
            <w:r>
              <w:rPr>
                <w:sz w:val="22"/>
                <w:szCs w:val="22"/>
              </w:rPr>
              <w:t xml:space="preserve"> – Summary of Internal Audit Work 2021-2022.</w:t>
            </w:r>
          </w:p>
          <w:p w14:paraId="1DB2227B" w14:textId="56AD7FF5" w:rsidR="00AF1A33" w:rsidRPr="00AF1A33" w:rsidRDefault="00AF1A33" w:rsidP="00AF1A33">
            <w:pPr>
              <w:pStyle w:val="ListParagraph"/>
              <w:ind w:left="0"/>
              <w:jc w:val="both"/>
              <w:rPr>
                <w:sz w:val="22"/>
                <w:szCs w:val="22"/>
              </w:rPr>
            </w:pPr>
          </w:p>
        </w:tc>
      </w:tr>
      <w:tr w:rsidR="00637B08" w:rsidRPr="00BE632F" w14:paraId="149B7F59" w14:textId="77777777" w:rsidTr="00B11059">
        <w:tc>
          <w:tcPr>
            <w:tcW w:w="461" w:type="dxa"/>
          </w:tcPr>
          <w:p w14:paraId="545A7277" w14:textId="66B3B3A6" w:rsidR="00637B08" w:rsidRDefault="00637B08" w:rsidP="00B11059">
            <w:pPr>
              <w:jc w:val="both"/>
              <w:rPr>
                <w:rFonts w:cs="Arial"/>
                <w:sz w:val="22"/>
                <w:szCs w:val="22"/>
              </w:rPr>
            </w:pPr>
            <w:r>
              <w:rPr>
                <w:rFonts w:cs="Arial"/>
                <w:sz w:val="22"/>
                <w:szCs w:val="22"/>
              </w:rPr>
              <w:t>1</w:t>
            </w:r>
            <w:r w:rsidR="00BF3F33">
              <w:rPr>
                <w:rFonts w:cs="Arial"/>
                <w:sz w:val="22"/>
                <w:szCs w:val="22"/>
              </w:rPr>
              <w:t>8</w:t>
            </w:r>
          </w:p>
        </w:tc>
        <w:tc>
          <w:tcPr>
            <w:tcW w:w="10200" w:type="dxa"/>
          </w:tcPr>
          <w:p w14:paraId="7E0185DB" w14:textId="0F0FE50E" w:rsidR="00DB651A" w:rsidRDefault="00637B08" w:rsidP="00EF2907">
            <w:pPr>
              <w:jc w:val="both"/>
              <w:rPr>
                <w:sz w:val="22"/>
                <w:szCs w:val="22"/>
              </w:rPr>
            </w:pPr>
            <w:r>
              <w:rPr>
                <w:sz w:val="22"/>
                <w:szCs w:val="22"/>
              </w:rPr>
              <w:t>Due to the loss of key personnel within Planning and Development, it has been necessary to defer the Section 106 review.  This will be considered for inclusion in the Audit Plan October 22 to March 23 once new officers are in post.</w:t>
            </w:r>
            <w:r w:rsidR="00DB651A">
              <w:rPr>
                <w:sz w:val="22"/>
                <w:szCs w:val="22"/>
              </w:rPr>
              <w:t xml:space="preserve">  In addition, whilst the ICT Audit Needs Assessment was completed during 2021-22, the Internal Audit Plan contained a further ICT</w:t>
            </w:r>
            <w:r w:rsidR="00644323">
              <w:rPr>
                <w:sz w:val="22"/>
                <w:szCs w:val="22"/>
              </w:rPr>
              <w:t xml:space="preserve"> review however t</w:t>
            </w:r>
            <w:r w:rsidR="00DB651A">
              <w:rPr>
                <w:sz w:val="22"/>
                <w:szCs w:val="22"/>
              </w:rPr>
              <w:t>his was unable to be completed due to the implementation of the ICT Digital Strategy and on-going change within the ICT Service.</w:t>
            </w:r>
          </w:p>
          <w:p w14:paraId="2CE6280E" w14:textId="3A19C407" w:rsidR="00145A2A" w:rsidRPr="00637B08" w:rsidRDefault="00145A2A" w:rsidP="00EF2907">
            <w:pPr>
              <w:jc w:val="both"/>
              <w:rPr>
                <w:sz w:val="22"/>
                <w:szCs w:val="22"/>
              </w:rPr>
            </w:pPr>
          </w:p>
        </w:tc>
      </w:tr>
      <w:tr w:rsidR="00AF1A33" w:rsidRPr="00BE632F" w14:paraId="3573DDE1" w14:textId="77777777" w:rsidTr="0010443D">
        <w:trPr>
          <w:trHeight w:val="5521"/>
        </w:trPr>
        <w:tc>
          <w:tcPr>
            <w:tcW w:w="461" w:type="dxa"/>
          </w:tcPr>
          <w:p w14:paraId="50F70A2A" w14:textId="720DDBA5" w:rsidR="00AF1A33" w:rsidRDefault="00AF1A33" w:rsidP="00B11059">
            <w:pPr>
              <w:jc w:val="both"/>
              <w:rPr>
                <w:rFonts w:cs="Arial"/>
                <w:sz w:val="22"/>
                <w:szCs w:val="22"/>
              </w:rPr>
            </w:pPr>
            <w:r>
              <w:rPr>
                <w:rFonts w:cs="Arial"/>
                <w:sz w:val="22"/>
                <w:szCs w:val="22"/>
              </w:rPr>
              <w:t>1</w:t>
            </w:r>
            <w:r w:rsidR="00BF3F33">
              <w:rPr>
                <w:rFonts w:cs="Arial"/>
                <w:sz w:val="22"/>
                <w:szCs w:val="22"/>
              </w:rPr>
              <w:t>9</w:t>
            </w:r>
          </w:p>
        </w:tc>
        <w:tc>
          <w:tcPr>
            <w:tcW w:w="10200" w:type="dxa"/>
          </w:tcPr>
          <w:p w14:paraId="50899C7C" w14:textId="5C16A9F1" w:rsidR="00AF1A33" w:rsidRDefault="006B2AB0" w:rsidP="00B11059">
            <w:pPr>
              <w:jc w:val="both"/>
              <w:rPr>
                <w:sz w:val="22"/>
                <w:szCs w:val="22"/>
              </w:rPr>
            </w:pPr>
            <w:r w:rsidRPr="006B2AB0">
              <w:rPr>
                <w:sz w:val="22"/>
                <w:szCs w:val="22"/>
                <w:u w:val="single"/>
              </w:rPr>
              <w:t>Follow up of agreed management actions</w:t>
            </w:r>
            <w:r>
              <w:rPr>
                <w:sz w:val="22"/>
                <w:szCs w:val="22"/>
              </w:rPr>
              <w:t>.</w:t>
            </w:r>
          </w:p>
          <w:p w14:paraId="6C8256D8" w14:textId="5F4A8392" w:rsidR="006B2AB0" w:rsidRDefault="006B2AB0" w:rsidP="00B11059">
            <w:pPr>
              <w:jc w:val="both"/>
              <w:rPr>
                <w:sz w:val="22"/>
                <w:szCs w:val="22"/>
              </w:rPr>
            </w:pPr>
          </w:p>
          <w:p w14:paraId="48A64F7B" w14:textId="5F3CFA1C" w:rsidR="006B2AB0" w:rsidRDefault="006B2AB0" w:rsidP="00B11059">
            <w:pPr>
              <w:jc w:val="both"/>
              <w:rPr>
                <w:sz w:val="22"/>
                <w:szCs w:val="22"/>
              </w:rPr>
            </w:pPr>
            <w:r>
              <w:rPr>
                <w:sz w:val="22"/>
                <w:szCs w:val="22"/>
              </w:rPr>
              <w:t xml:space="preserve">Members will be aware that a </w:t>
            </w:r>
            <w:r w:rsidR="00637B08">
              <w:rPr>
                <w:sz w:val="22"/>
                <w:szCs w:val="22"/>
              </w:rPr>
              <w:t>significant</w:t>
            </w:r>
            <w:r>
              <w:rPr>
                <w:sz w:val="22"/>
                <w:szCs w:val="22"/>
              </w:rPr>
              <w:t xml:space="preserve"> amount of work has been undertaken during 2021-2022 to establish a robust process to monitor the implementation of agreed management actions from Internal Audit reports.</w:t>
            </w:r>
          </w:p>
          <w:p w14:paraId="205047C4" w14:textId="42DDDC8E" w:rsidR="006B2AB0" w:rsidRDefault="006B2AB0" w:rsidP="00B11059">
            <w:pPr>
              <w:jc w:val="both"/>
              <w:rPr>
                <w:sz w:val="22"/>
                <w:szCs w:val="22"/>
              </w:rPr>
            </w:pPr>
          </w:p>
          <w:p w14:paraId="75FB592D" w14:textId="32210554" w:rsidR="00907375" w:rsidRDefault="00907375" w:rsidP="00B11059">
            <w:pPr>
              <w:jc w:val="both"/>
              <w:rPr>
                <w:sz w:val="22"/>
                <w:szCs w:val="22"/>
              </w:rPr>
            </w:pPr>
            <w:r>
              <w:rPr>
                <w:sz w:val="22"/>
                <w:szCs w:val="22"/>
              </w:rPr>
              <w:t xml:space="preserve">In order to enable a rigorous monitoring system, all agreed management actions are added to the </w:t>
            </w:r>
            <w:r w:rsidR="00DB651A">
              <w:rPr>
                <w:sz w:val="22"/>
                <w:szCs w:val="22"/>
              </w:rPr>
              <w:t>Council</w:t>
            </w:r>
            <w:r>
              <w:rPr>
                <w:sz w:val="22"/>
                <w:szCs w:val="22"/>
              </w:rPr>
              <w:t>’s risk management system GRACE.   This allows action owners to update the system with progress made in a timely fashion and for monthly reports to be issued to Directors.   Outstanding audit actions are now a standing item on all Directorate monthly meetings.</w:t>
            </w:r>
          </w:p>
          <w:p w14:paraId="37175A59" w14:textId="15F1EB77" w:rsidR="007321BE" w:rsidRDefault="007321BE" w:rsidP="00B11059">
            <w:pPr>
              <w:jc w:val="both"/>
              <w:rPr>
                <w:sz w:val="22"/>
                <w:szCs w:val="22"/>
              </w:rPr>
            </w:pPr>
          </w:p>
          <w:p w14:paraId="7CE2FF15" w14:textId="097BFA7B" w:rsidR="007321BE" w:rsidRDefault="007321BE" w:rsidP="00B11059">
            <w:pPr>
              <w:jc w:val="both"/>
              <w:rPr>
                <w:sz w:val="22"/>
                <w:szCs w:val="22"/>
              </w:rPr>
            </w:pPr>
            <w:r>
              <w:rPr>
                <w:sz w:val="22"/>
                <w:szCs w:val="22"/>
              </w:rPr>
              <w:t>The table below sets out the number of agreed internal audit actions and their current status:</w:t>
            </w:r>
          </w:p>
          <w:p w14:paraId="7445047E" w14:textId="16CA3E60" w:rsidR="007321BE" w:rsidRDefault="007321BE" w:rsidP="00B11059">
            <w:pPr>
              <w:jc w:val="both"/>
              <w:rPr>
                <w:sz w:val="22"/>
                <w:szCs w:val="22"/>
              </w:rPr>
            </w:pPr>
          </w:p>
          <w:tbl>
            <w:tblPr>
              <w:tblStyle w:val="TableGrid"/>
              <w:tblW w:w="0" w:type="auto"/>
              <w:tblLook w:val="04A0" w:firstRow="1" w:lastRow="0" w:firstColumn="1" w:lastColumn="0" w:noHBand="0" w:noVBand="1"/>
            </w:tblPr>
            <w:tblGrid>
              <w:gridCol w:w="1366"/>
              <w:gridCol w:w="1361"/>
              <w:gridCol w:w="1349"/>
              <w:gridCol w:w="1324"/>
              <w:gridCol w:w="1573"/>
              <w:gridCol w:w="1417"/>
              <w:gridCol w:w="1584"/>
            </w:tblGrid>
            <w:tr w:rsidR="002652DD" w14:paraId="290C5756" w14:textId="77777777" w:rsidTr="002652DD">
              <w:tc>
                <w:tcPr>
                  <w:tcW w:w="1424" w:type="dxa"/>
                  <w:shd w:val="clear" w:color="auto" w:fill="DBE5F1" w:themeFill="accent1" w:themeFillTint="33"/>
                </w:tcPr>
                <w:p w14:paraId="01C079E2" w14:textId="77777777" w:rsidR="007321BE" w:rsidRDefault="007321BE" w:rsidP="00B11059">
                  <w:pPr>
                    <w:jc w:val="both"/>
                    <w:rPr>
                      <w:sz w:val="22"/>
                      <w:szCs w:val="22"/>
                    </w:rPr>
                  </w:pPr>
                </w:p>
              </w:tc>
              <w:tc>
                <w:tcPr>
                  <w:tcW w:w="1425" w:type="dxa"/>
                  <w:shd w:val="clear" w:color="auto" w:fill="DBE5F1" w:themeFill="accent1" w:themeFillTint="33"/>
                </w:tcPr>
                <w:p w14:paraId="5010792A" w14:textId="0B8C2EBA" w:rsidR="007321BE" w:rsidRPr="007321BE" w:rsidRDefault="007321BE" w:rsidP="002652DD">
                  <w:pPr>
                    <w:jc w:val="center"/>
                    <w:rPr>
                      <w:sz w:val="20"/>
                    </w:rPr>
                  </w:pPr>
                  <w:r w:rsidRPr="007321BE">
                    <w:rPr>
                      <w:sz w:val="20"/>
                    </w:rPr>
                    <w:t xml:space="preserve">No of actions </w:t>
                  </w:r>
                  <w:proofErr w:type="spellStart"/>
                  <w:r>
                    <w:rPr>
                      <w:sz w:val="20"/>
                    </w:rPr>
                    <w:t>b/f</w:t>
                  </w:r>
                  <w:proofErr w:type="spellEnd"/>
                  <w:r>
                    <w:rPr>
                      <w:sz w:val="20"/>
                    </w:rPr>
                    <w:t xml:space="preserve"> from pre 2021.22</w:t>
                  </w:r>
                </w:p>
              </w:tc>
              <w:tc>
                <w:tcPr>
                  <w:tcW w:w="1425" w:type="dxa"/>
                  <w:tcBorders>
                    <w:right w:val="single" w:sz="2" w:space="0" w:color="auto"/>
                  </w:tcBorders>
                  <w:shd w:val="clear" w:color="auto" w:fill="DBE5F1" w:themeFill="accent1" w:themeFillTint="33"/>
                </w:tcPr>
                <w:p w14:paraId="23052497" w14:textId="5CECF3EB" w:rsidR="007321BE" w:rsidRPr="007321BE" w:rsidRDefault="007321BE" w:rsidP="002652DD">
                  <w:pPr>
                    <w:jc w:val="center"/>
                    <w:rPr>
                      <w:sz w:val="20"/>
                    </w:rPr>
                  </w:pPr>
                  <w:r w:rsidRPr="007321BE">
                    <w:rPr>
                      <w:sz w:val="20"/>
                    </w:rPr>
                    <w:t>No of actions from 21.22 reports</w:t>
                  </w:r>
                </w:p>
              </w:tc>
              <w:tc>
                <w:tcPr>
                  <w:tcW w:w="1425" w:type="dxa"/>
                  <w:tcBorders>
                    <w:top w:val="single" w:sz="2" w:space="0" w:color="auto"/>
                    <w:left w:val="single" w:sz="2" w:space="0" w:color="auto"/>
                    <w:bottom w:val="single" w:sz="2" w:space="0" w:color="auto"/>
                    <w:right w:val="single" w:sz="18" w:space="0" w:color="auto"/>
                  </w:tcBorders>
                  <w:shd w:val="clear" w:color="auto" w:fill="DBE5F1" w:themeFill="accent1" w:themeFillTint="33"/>
                </w:tcPr>
                <w:p w14:paraId="175987A7" w14:textId="17BEE0C7" w:rsidR="007321BE" w:rsidRPr="002652DD" w:rsidRDefault="007321BE" w:rsidP="002652DD">
                  <w:pPr>
                    <w:jc w:val="center"/>
                    <w:rPr>
                      <w:color w:val="000000" w:themeColor="text1"/>
                      <w:sz w:val="20"/>
                    </w:rPr>
                  </w:pPr>
                  <w:r w:rsidRPr="002652DD">
                    <w:rPr>
                      <w:color w:val="000000" w:themeColor="text1"/>
                      <w:sz w:val="20"/>
                    </w:rPr>
                    <w:t>Total</w:t>
                  </w:r>
                </w:p>
              </w:tc>
              <w:tc>
                <w:tcPr>
                  <w:tcW w:w="1425" w:type="dxa"/>
                  <w:tcBorders>
                    <w:left w:val="single" w:sz="18" w:space="0" w:color="auto"/>
                  </w:tcBorders>
                  <w:shd w:val="clear" w:color="auto" w:fill="DBE5F1" w:themeFill="accent1" w:themeFillTint="33"/>
                </w:tcPr>
                <w:p w14:paraId="60B5E07E" w14:textId="4CB840AF" w:rsidR="007321BE" w:rsidRPr="002652DD" w:rsidRDefault="007321BE" w:rsidP="002652DD">
                  <w:pPr>
                    <w:jc w:val="center"/>
                    <w:rPr>
                      <w:sz w:val="20"/>
                    </w:rPr>
                  </w:pPr>
                  <w:r w:rsidRPr="002652DD">
                    <w:rPr>
                      <w:sz w:val="20"/>
                    </w:rPr>
                    <w:t>No due for implementation by March 22.</w:t>
                  </w:r>
                </w:p>
              </w:tc>
              <w:tc>
                <w:tcPr>
                  <w:tcW w:w="1425" w:type="dxa"/>
                  <w:shd w:val="clear" w:color="auto" w:fill="DBE5F1" w:themeFill="accent1" w:themeFillTint="33"/>
                </w:tcPr>
                <w:p w14:paraId="3C721EE9" w14:textId="5CB57485" w:rsidR="007321BE" w:rsidRPr="002652DD" w:rsidRDefault="007321BE" w:rsidP="002652DD">
                  <w:pPr>
                    <w:jc w:val="center"/>
                    <w:rPr>
                      <w:sz w:val="20"/>
                    </w:rPr>
                  </w:pPr>
                  <w:r w:rsidRPr="002652DD">
                    <w:rPr>
                      <w:sz w:val="20"/>
                    </w:rPr>
                    <w:t>No of actions implemented</w:t>
                  </w:r>
                </w:p>
              </w:tc>
              <w:tc>
                <w:tcPr>
                  <w:tcW w:w="1425" w:type="dxa"/>
                  <w:shd w:val="clear" w:color="auto" w:fill="DBE5F1" w:themeFill="accent1" w:themeFillTint="33"/>
                </w:tcPr>
                <w:p w14:paraId="09FA5655" w14:textId="77777777" w:rsidR="002652DD" w:rsidRPr="002652DD" w:rsidRDefault="002652DD" w:rsidP="002652DD">
                  <w:pPr>
                    <w:jc w:val="center"/>
                    <w:rPr>
                      <w:sz w:val="20"/>
                    </w:rPr>
                  </w:pPr>
                  <w:r w:rsidRPr="002652DD">
                    <w:rPr>
                      <w:sz w:val="20"/>
                    </w:rPr>
                    <w:t>%age</w:t>
                  </w:r>
                </w:p>
                <w:p w14:paraId="0118A205" w14:textId="3ECB5273" w:rsidR="007321BE" w:rsidRDefault="006E29B4" w:rsidP="002652DD">
                  <w:pPr>
                    <w:jc w:val="center"/>
                    <w:rPr>
                      <w:sz w:val="22"/>
                      <w:szCs w:val="22"/>
                    </w:rPr>
                  </w:pPr>
                  <w:r w:rsidRPr="002652DD">
                    <w:rPr>
                      <w:sz w:val="20"/>
                    </w:rPr>
                    <w:t>I</w:t>
                  </w:r>
                  <w:r w:rsidR="002652DD" w:rsidRPr="002652DD">
                    <w:rPr>
                      <w:sz w:val="20"/>
                    </w:rPr>
                    <w:t>mplementation</w:t>
                  </w:r>
                  <w:r>
                    <w:rPr>
                      <w:sz w:val="20"/>
                    </w:rPr>
                    <w:t xml:space="preserve"> rate</w:t>
                  </w:r>
                </w:p>
              </w:tc>
            </w:tr>
            <w:tr w:rsidR="002652DD" w14:paraId="3F127198" w14:textId="77777777" w:rsidTr="002652DD">
              <w:tc>
                <w:tcPr>
                  <w:tcW w:w="1424" w:type="dxa"/>
                </w:tcPr>
                <w:p w14:paraId="597F3697" w14:textId="7DE4D584" w:rsidR="007321BE" w:rsidRPr="002652DD" w:rsidRDefault="007321BE" w:rsidP="00B11059">
                  <w:pPr>
                    <w:jc w:val="both"/>
                    <w:rPr>
                      <w:sz w:val="20"/>
                    </w:rPr>
                  </w:pPr>
                  <w:r w:rsidRPr="002652DD">
                    <w:rPr>
                      <w:sz w:val="20"/>
                    </w:rPr>
                    <w:t xml:space="preserve">SRBC </w:t>
                  </w:r>
                </w:p>
              </w:tc>
              <w:tc>
                <w:tcPr>
                  <w:tcW w:w="1425" w:type="dxa"/>
                </w:tcPr>
                <w:p w14:paraId="005E149D" w14:textId="63AB95EF" w:rsidR="007321BE" w:rsidRPr="002652DD" w:rsidRDefault="002652DD" w:rsidP="002652DD">
                  <w:pPr>
                    <w:jc w:val="center"/>
                    <w:rPr>
                      <w:sz w:val="20"/>
                    </w:rPr>
                  </w:pPr>
                  <w:r w:rsidRPr="002652DD">
                    <w:rPr>
                      <w:sz w:val="20"/>
                    </w:rPr>
                    <w:t>41</w:t>
                  </w:r>
                </w:p>
              </w:tc>
              <w:tc>
                <w:tcPr>
                  <w:tcW w:w="1425" w:type="dxa"/>
                  <w:tcBorders>
                    <w:right w:val="single" w:sz="2" w:space="0" w:color="auto"/>
                  </w:tcBorders>
                </w:tcPr>
                <w:p w14:paraId="34498D6C" w14:textId="50D712C3" w:rsidR="007321BE" w:rsidRPr="002652DD" w:rsidRDefault="002652DD" w:rsidP="002652DD">
                  <w:pPr>
                    <w:jc w:val="center"/>
                    <w:rPr>
                      <w:sz w:val="20"/>
                    </w:rPr>
                  </w:pPr>
                  <w:r w:rsidRPr="002652DD">
                    <w:rPr>
                      <w:sz w:val="20"/>
                    </w:rPr>
                    <w:t>43</w:t>
                  </w:r>
                </w:p>
              </w:tc>
              <w:tc>
                <w:tcPr>
                  <w:tcW w:w="1425" w:type="dxa"/>
                  <w:tcBorders>
                    <w:top w:val="single" w:sz="2" w:space="0" w:color="auto"/>
                    <w:left w:val="single" w:sz="2" w:space="0" w:color="auto"/>
                    <w:bottom w:val="single" w:sz="2" w:space="0" w:color="auto"/>
                    <w:right w:val="single" w:sz="18" w:space="0" w:color="auto"/>
                  </w:tcBorders>
                </w:tcPr>
                <w:p w14:paraId="04C33F88" w14:textId="69285B06" w:rsidR="007321BE" w:rsidRPr="002652DD" w:rsidRDefault="002652DD" w:rsidP="002652DD">
                  <w:pPr>
                    <w:jc w:val="center"/>
                    <w:rPr>
                      <w:color w:val="000000" w:themeColor="text1"/>
                      <w:sz w:val="20"/>
                    </w:rPr>
                  </w:pPr>
                  <w:r w:rsidRPr="002652DD">
                    <w:rPr>
                      <w:color w:val="000000" w:themeColor="text1"/>
                      <w:sz w:val="20"/>
                    </w:rPr>
                    <w:t>84</w:t>
                  </w:r>
                </w:p>
              </w:tc>
              <w:tc>
                <w:tcPr>
                  <w:tcW w:w="1425" w:type="dxa"/>
                  <w:tcBorders>
                    <w:left w:val="single" w:sz="18" w:space="0" w:color="auto"/>
                  </w:tcBorders>
                </w:tcPr>
                <w:p w14:paraId="5168F75B" w14:textId="3F362D44" w:rsidR="007321BE" w:rsidRPr="002652DD" w:rsidRDefault="002652DD" w:rsidP="002652DD">
                  <w:pPr>
                    <w:jc w:val="center"/>
                    <w:rPr>
                      <w:sz w:val="20"/>
                    </w:rPr>
                  </w:pPr>
                  <w:r w:rsidRPr="002652DD">
                    <w:rPr>
                      <w:sz w:val="20"/>
                    </w:rPr>
                    <w:t>73</w:t>
                  </w:r>
                </w:p>
              </w:tc>
              <w:tc>
                <w:tcPr>
                  <w:tcW w:w="1425" w:type="dxa"/>
                </w:tcPr>
                <w:p w14:paraId="42E64BAE" w14:textId="504E78CB" w:rsidR="007321BE" w:rsidRPr="002652DD" w:rsidRDefault="002652DD" w:rsidP="002652DD">
                  <w:pPr>
                    <w:jc w:val="center"/>
                    <w:rPr>
                      <w:sz w:val="20"/>
                    </w:rPr>
                  </w:pPr>
                  <w:r w:rsidRPr="002652DD">
                    <w:rPr>
                      <w:sz w:val="20"/>
                    </w:rPr>
                    <w:t>47</w:t>
                  </w:r>
                </w:p>
              </w:tc>
              <w:tc>
                <w:tcPr>
                  <w:tcW w:w="1425" w:type="dxa"/>
                </w:tcPr>
                <w:p w14:paraId="17F22216" w14:textId="765AD02D" w:rsidR="007321BE" w:rsidRPr="002652DD" w:rsidRDefault="002652DD" w:rsidP="002652DD">
                  <w:pPr>
                    <w:jc w:val="center"/>
                    <w:rPr>
                      <w:sz w:val="20"/>
                    </w:rPr>
                  </w:pPr>
                  <w:r w:rsidRPr="002652DD">
                    <w:rPr>
                      <w:sz w:val="20"/>
                    </w:rPr>
                    <w:t>64%</w:t>
                  </w:r>
                </w:p>
              </w:tc>
            </w:tr>
            <w:tr w:rsidR="002652DD" w14:paraId="60A8E025" w14:textId="77777777" w:rsidTr="002652DD">
              <w:tc>
                <w:tcPr>
                  <w:tcW w:w="1424" w:type="dxa"/>
                </w:tcPr>
                <w:p w14:paraId="419CB89F" w14:textId="6DEED6E3" w:rsidR="007321BE" w:rsidRPr="002652DD" w:rsidRDefault="002652DD" w:rsidP="00B11059">
                  <w:pPr>
                    <w:jc w:val="both"/>
                    <w:rPr>
                      <w:sz w:val="20"/>
                    </w:rPr>
                  </w:pPr>
                  <w:r>
                    <w:rPr>
                      <w:sz w:val="20"/>
                    </w:rPr>
                    <w:t>Shared Services</w:t>
                  </w:r>
                </w:p>
              </w:tc>
              <w:tc>
                <w:tcPr>
                  <w:tcW w:w="1425" w:type="dxa"/>
                </w:tcPr>
                <w:p w14:paraId="346394E3" w14:textId="7EB6C19D" w:rsidR="007321BE" w:rsidRPr="002652DD" w:rsidRDefault="002652DD" w:rsidP="002652DD">
                  <w:pPr>
                    <w:jc w:val="center"/>
                    <w:rPr>
                      <w:sz w:val="20"/>
                    </w:rPr>
                  </w:pPr>
                  <w:r>
                    <w:rPr>
                      <w:sz w:val="20"/>
                    </w:rPr>
                    <w:t>7</w:t>
                  </w:r>
                </w:p>
              </w:tc>
              <w:tc>
                <w:tcPr>
                  <w:tcW w:w="1425" w:type="dxa"/>
                  <w:tcBorders>
                    <w:right w:val="single" w:sz="2" w:space="0" w:color="auto"/>
                  </w:tcBorders>
                </w:tcPr>
                <w:p w14:paraId="6B539C3B" w14:textId="04929310" w:rsidR="007321BE" w:rsidRPr="002652DD" w:rsidRDefault="002652DD" w:rsidP="002652DD">
                  <w:pPr>
                    <w:jc w:val="center"/>
                    <w:rPr>
                      <w:sz w:val="20"/>
                    </w:rPr>
                  </w:pPr>
                  <w:r>
                    <w:rPr>
                      <w:sz w:val="20"/>
                    </w:rPr>
                    <w:t>29</w:t>
                  </w:r>
                </w:p>
              </w:tc>
              <w:tc>
                <w:tcPr>
                  <w:tcW w:w="1425" w:type="dxa"/>
                  <w:tcBorders>
                    <w:top w:val="single" w:sz="2" w:space="0" w:color="auto"/>
                    <w:left w:val="single" w:sz="2" w:space="0" w:color="auto"/>
                    <w:bottom w:val="single" w:sz="2" w:space="0" w:color="auto"/>
                    <w:right w:val="single" w:sz="18" w:space="0" w:color="auto"/>
                  </w:tcBorders>
                </w:tcPr>
                <w:p w14:paraId="019D867D" w14:textId="26BE55E1" w:rsidR="007321BE" w:rsidRPr="002652DD" w:rsidRDefault="002652DD" w:rsidP="002652DD">
                  <w:pPr>
                    <w:jc w:val="center"/>
                    <w:rPr>
                      <w:color w:val="000000" w:themeColor="text1"/>
                      <w:sz w:val="20"/>
                    </w:rPr>
                  </w:pPr>
                  <w:r>
                    <w:rPr>
                      <w:color w:val="000000" w:themeColor="text1"/>
                      <w:sz w:val="20"/>
                    </w:rPr>
                    <w:t>36</w:t>
                  </w:r>
                </w:p>
              </w:tc>
              <w:tc>
                <w:tcPr>
                  <w:tcW w:w="1425" w:type="dxa"/>
                  <w:tcBorders>
                    <w:left w:val="single" w:sz="18" w:space="0" w:color="auto"/>
                  </w:tcBorders>
                </w:tcPr>
                <w:p w14:paraId="133D110D" w14:textId="3A534829" w:rsidR="007321BE" w:rsidRPr="002652DD" w:rsidRDefault="002652DD" w:rsidP="002652DD">
                  <w:pPr>
                    <w:jc w:val="center"/>
                    <w:rPr>
                      <w:sz w:val="20"/>
                    </w:rPr>
                  </w:pPr>
                  <w:r>
                    <w:rPr>
                      <w:sz w:val="20"/>
                    </w:rPr>
                    <w:t>31</w:t>
                  </w:r>
                </w:p>
              </w:tc>
              <w:tc>
                <w:tcPr>
                  <w:tcW w:w="1425" w:type="dxa"/>
                </w:tcPr>
                <w:p w14:paraId="28C3D693" w14:textId="42D30605" w:rsidR="007321BE" w:rsidRPr="002652DD" w:rsidRDefault="002652DD" w:rsidP="002652DD">
                  <w:pPr>
                    <w:jc w:val="center"/>
                    <w:rPr>
                      <w:sz w:val="20"/>
                    </w:rPr>
                  </w:pPr>
                  <w:r>
                    <w:rPr>
                      <w:sz w:val="20"/>
                    </w:rPr>
                    <w:t>28</w:t>
                  </w:r>
                </w:p>
              </w:tc>
              <w:tc>
                <w:tcPr>
                  <w:tcW w:w="1425" w:type="dxa"/>
                </w:tcPr>
                <w:p w14:paraId="7C0B82E1" w14:textId="7DB44527" w:rsidR="007321BE" w:rsidRPr="002652DD" w:rsidRDefault="002652DD" w:rsidP="002652DD">
                  <w:pPr>
                    <w:jc w:val="center"/>
                    <w:rPr>
                      <w:sz w:val="20"/>
                    </w:rPr>
                  </w:pPr>
                  <w:r>
                    <w:rPr>
                      <w:sz w:val="20"/>
                    </w:rPr>
                    <w:t>90%</w:t>
                  </w:r>
                </w:p>
              </w:tc>
            </w:tr>
            <w:tr w:rsidR="002652DD" w14:paraId="739A2BC5" w14:textId="77777777" w:rsidTr="002652DD">
              <w:tc>
                <w:tcPr>
                  <w:tcW w:w="1424" w:type="dxa"/>
                </w:tcPr>
                <w:p w14:paraId="24CFEDEA" w14:textId="4509D208" w:rsidR="002652DD" w:rsidRPr="002652DD" w:rsidRDefault="002652DD" w:rsidP="00B11059">
                  <w:pPr>
                    <w:jc w:val="both"/>
                    <w:rPr>
                      <w:b/>
                      <w:bCs/>
                      <w:sz w:val="20"/>
                    </w:rPr>
                  </w:pPr>
                  <w:r w:rsidRPr="002652DD">
                    <w:rPr>
                      <w:b/>
                      <w:bCs/>
                      <w:sz w:val="20"/>
                    </w:rPr>
                    <w:t>Total</w:t>
                  </w:r>
                </w:p>
              </w:tc>
              <w:tc>
                <w:tcPr>
                  <w:tcW w:w="1425" w:type="dxa"/>
                </w:tcPr>
                <w:p w14:paraId="57E6FDB4" w14:textId="2786B22A" w:rsidR="002652DD" w:rsidRPr="002652DD" w:rsidRDefault="002652DD" w:rsidP="002652DD">
                  <w:pPr>
                    <w:jc w:val="center"/>
                    <w:rPr>
                      <w:b/>
                      <w:bCs/>
                      <w:sz w:val="20"/>
                    </w:rPr>
                  </w:pPr>
                  <w:r w:rsidRPr="002652DD">
                    <w:rPr>
                      <w:b/>
                      <w:bCs/>
                      <w:sz w:val="20"/>
                    </w:rPr>
                    <w:t>48</w:t>
                  </w:r>
                </w:p>
              </w:tc>
              <w:tc>
                <w:tcPr>
                  <w:tcW w:w="1425" w:type="dxa"/>
                  <w:tcBorders>
                    <w:right w:val="single" w:sz="2" w:space="0" w:color="auto"/>
                  </w:tcBorders>
                </w:tcPr>
                <w:p w14:paraId="539FB81C" w14:textId="0E30A078" w:rsidR="002652DD" w:rsidRPr="002652DD" w:rsidRDefault="002652DD" w:rsidP="002652DD">
                  <w:pPr>
                    <w:jc w:val="center"/>
                    <w:rPr>
                      <w:b/>
                      <w:bCs/>
                      <w:sz w:val="20"/>
                    </w:rPr>
                  </w:pPr>
                  <w:r w:rsidRPr="002652DD">
                    <w:rPr>
                      <w:b/>
                      <w:bCs/>
                      <w:sz w:val="20"/>
                    </w:rPr>
                    <w:t>72</w:t>
                  </w:r>
                </w:p>
              </w:tc>
              <w:tc>
                <w:tcPr>
                  <w:tcW w:w="1425" w:type="dxa"/>
                  <w:tcBorders>
                    <w:top w:val="single" w:sz="2" w:space="0" w:color="auto"/>
                    <w:left w:val="single" w:sz="2" w:space="0" w:color="auto"/>
                    <w:bottom w:val="single" w:sz="2" w:space="0" w:color="auto"/>
                    <w:right w:val="single" w:sz="18" w:space="0" w:color="auto"/>
                  </w:tcBorders>
                </w:tcPr>
                <w:p w14:paraId="3166DC38" w14:textId="3572AD57" w:rsidR="002652DD" w:rsidRPr="002652DD" w:rsidRDefault="002652DD" w:rsidP="002652DD">
                  <w:pPr>
                    <w:jc w:val="center"/>
                    <w:rPr>
                      <w:b/>
                      <w:bCs/>
                      <w:color w:val="000000" w:themeColor="text1"/>
                      <w:sz w:val="20"/>
                    </w:rPr>
                  </w:pPr>
                  <w:r w:rsidRPr="002652DD">
                    <w:rPr>
                      <w:b/>
                      <w:bCs/>
                      <w:color w:val="000000" w:themeColor="text1"/>
                      <w:sz w:val="20"/>
                    </w:rPr>
                    <w:t>120</w:t>
                  </w:r>
                </w:p>
              </w:tc>
              <w:tc>
                <w:tcPr>
                  <w:tcW w:w="1425" w:type="dxa"/>
                  <w:tcBorders>
                    <w:left w:val="single" w:sz="18" w:space="0" w:color="auto"/>
                  </w:tcBorders>
                </w:tcPr>
                <w:p w14:paraId="521B2636" w14:textId="49A1F6D3" w:rsidR="002652DD" w:rsidRPr="002652DD" w:rsidRDefault="002652DD" w:rsidP="002652DD">
                  <w:pPr>
                    <w:jc w:val="center"/>
                    <w:rPr>
                      <w:b/>
                      <w:bCs/>
                      <w:sz w:val="20"/>
                    </w:rPr>
                  </w:pPr>
                  <w:r w:rsidRPr="002652DD">
                    <w:rPr>
                      <w:b/>
                      <w:bCs/>
                      <w:sz w:val="20"/>
                    </w:rPr>
                    <w:t>104</w:t>
                  </w:r>
                </w:p>
              </w:tc>
              <w:tc>
                <w:tcPr>
                  <w:tcW w:w="1425" w:type="dxa"/>
                </w:tcPr>
                <w:p w14:paraId="7695C599" w14:textId="005865EA" w:rsidR="002652DD" w:rsidRPr="002652DD" w:rsidRDefault="002652DD" w:rsidP="002652DD">
                  <w:pPr>
                    <w:jc w:val="center"/>
                    <w:rPr>
                      <w:b/>
                      <w:bCs/>
                      <w:sz w:val="20"/>
                    </w:rPr>
                  </w:pPr>
                  <w:r w:rsidRPr="002652DD">
                    <w:rPr>
                      <w:b/>
                      <w:bCs/>
                      <w:sz w:val="20"/>
                    </w:rPr>
                    <w:t>75</w:t>
                  </w:r>
                </w:p>
              </w:tc>
              <w:tc>
                <w:tcPr>
                  <w:tcW w:w="1425" w:type="dxa"/>
                </w:tcPr>
                <w:p w14:paraId="6ACA7292" w14:textId="642AC88A" w:rsidR="002652DD" w:rsidRPr="002652DD" w:rsidRDefault="002652DD" w:rsidP="002652DD">
                  <w:pPr>
                    <w:jc w:val="center"/>
                    <w:rPr>
                      <w:b/>
                      <w:bCs/>
                      <w:sz w:val="20"/>
                    </w:rPr>
                  </w:pPr>
                  <w:r w:rsidRPr="002652DD">
                    <w:rPr>
                      <w:b/>
                      <w:bCs/>
                      <w:sz w:val="20"/>
                    </w:rPr>
                    <w:t>72%</w:t>
                  </w:r>
                </w:p>
              </w:tc>
            </w:tr>
          </w:tbl>
          <w:p w14:paraId="67C7B23A" w14:textId="77777777" w:rsidR="007321BE" w:rsidRDefault="007321BE" w:rsidP="00B11059">
            <w:pPr>
              <w:jc w:val="both"/>
              <w:rPr>
                <w:sz w:val="22"/>
                <w:szCs w:val="22"/>
              </w:rPr>
            </w:pPr>
          </w:p>
          <w:p w14:paraId="304DD868" w14:textId="3D5AC1E0" w:rsidR="00907375" w:rsidRDefault="00907375" w:rsidP="002652DD">
            <w:pPr>
              <w:jc w:val="both"/>
              <w:rPr>
                <w:sz w:val="22"/>
                <w:szCs w:val="22"/>
              </w:rPr>
            </w:pPr>
          </w:p>
        </w:tc>
      </w:tr>
      <w:tr w:rsidR="00907375" w:rsidRPr="00BE632F" w14:paraId="53434AE2" w14:textId="77777777" w:rsidTr="00B11059">
        <w:tc>
          <w:tcPr>
            <w:tcW w:w="461" w:type="dxa"/>
          </w:tcPr>
          <w:p w14:paraId="5418D49A" w14:textId="3F0F2C12" w:rsidR="00907375" w:rsidRDefault="00BF3F33" w:rsidP="00B11059">
            <w:pPr>
              <w:jc w:val="both"/>
              <w:rPr>
                <w:rFonts w:cs="Arial"/>
                <w:sz w:val="22"/>
                <w:szCs w:val="22"/>
              </w:rPr>
            </w:pPr>
            <w:r>
              <w:rPr>
                <w:rFonts w:cs="Arial"/>
                <w:sz w:val="22"/>
                <w:szCs w:val="22"/>
              </w:rPr>
              <w:t>20</w:t>
            </w:r>
          </w:p>
        </w:tc>
        <w:tc>
          <w:tcPr>
            <w:tcW w:w="10200" w:type="dxa"/>
          </w:tcPr>
          <w:p w14:paraId="70C5152D" w14:textId="31775B1E" w:rsidR="00907375" w:rsidRDefault="0010443D" w:rsidP="00B11059">
            <w:pPr>
              <w:jc w:val="both"/>
              <w:rPr>
                <w:sz w:val="22"/>
                <w:szCs w:val="22"/>
              </w:rPr>
            </w:pPr>
            <w:r>
              <w:rPr>
                <w:sz w:val="22"/>
                <w:szCs w:val="22"/>
              </w:rPr>
              <w:t xml:space="preserve">Whilst the target implementation rate of 90% has not been met, the </w:t>
            </w:r>
            <w:r w:rsidR="006E29B4">
              <w:rPr>
                <w:sz w:val="22"/>
                <w:szCs w:val="22"/>
              </w:rPr>
              <w:t xml:space="preserve">outstanding </w:t>
            </w:r>
            <w:r>
              <w:rPr>
                <w:sz w:val="22"/>
                <w:szCs w:val="22"/>
              </w:rPr>
              <w:t xml:space="preserve">actions have been reviewed and </w:t>
            </w:r>
            <w:r w:rsidR="006E29B4">
              <w:rPr>
                <w:sz w:val="22"/>
                <w:szCs w:val="22"/>
              </w:rPr>
              <w:t xml:space="preserve">it has been </w:t>
            </w:r>
            <w:r>
              <w:rPr>
                <w:sz w:val="22"/>
                <w:szCs w:val="22"/>
              </w:rPr>
              <w:t>established that the reasons are largely due to the implementation of phase 2 of shared services and the short term impact on ICT and staffing</w:t>
            </w:r>
            <w:r w:rsidR="00866364">
              <w:rPr>
                <w:sz w:val="22"/>
                <w:szCs w:val="22"/>
              </w:rPr>
              <w:t xml:space="preserve"> across the authority</w:t>
            </w:r>
            <w:r>
              <w:rPr>
                <w:sz w:val="22"/>
                <w:szCs w:val="22"/>
              </w:rPr>
              <w:t xml:space="preserve">.   </w:t>
            </w:r>
          </w:p>
          <w:p w14:paraId="164D4F8F" w14:textId="77777777" w:rsidR="0010443D" w:rsidRDefault="0010443D" w:rsidP="00B11059">
            <w:pPr>
              <w:jc w:val="both"/>
              <w:rPr>
                <w:sz w:val="22"/>
                <w:szCs w:val="22"/>
              </w:rPr>
            </w:pPr>
          </w:p>
          <w:p w14:paraId="2EC860C8" w14:textId="3C26CD75" w:rsidR="00DB651A" w:rsidRDefault="0010443D" w:rsidP="00B11059">
            <w:pPr>
              <w:jc w:val="both"/>
              <w:rPr>
                <w:sz w:val="22"/>
                <w:szCs w:val="22"/>
              </w:rPr>
            </w:pPr>
            <w:r>
              <w:rPr>
                <w:sz w:val="22"/>
                <w:szCs w:val="22"/>
              </w:rPr>
              <w:t>Revised dates have been agreed for any actions still to be implemented and it is anticipated that the implementation rate will rise over the course of the next 6-8 months.</w:t>
            </w:r>
          </w:p>
          <w:p w14:paraId="57A0EA24" w14:textId="6881883A" w:rsidR="0010443D" w:rsidRPr="00907375" w:rsidRDefault="0010443D" w:rsidP="00B11059">
            <w:pPr>
              <w:jc w:val="both"/>
              <w:rPr>
                <w:sz w:val="22"/>
                <w:szCs w:val="22"/>
              </w:rPr>
            </w:pPr>
          </w:p>
        </w:tc>
      </w:tr>
      <w:tr w:rsidR="0010443D" w:rsidRPr="00BE632F" w14:paraId="13BF5214" w14:textId="77777777" w:rsidTr="00B11059">
        <w:tc>
          <w:tcPr>
            <w:tcW w:w="461" w:type="dxa"/>
          </w:tcPr>
          <w:p w14:paraId="54FD3B01" w14:textId="5403B591" w:rsidR="0010443D" w:rsidRDefault="00BF3F33" w:rsidP="00B11059">
            <w:pPr>
              <w:jc w:val="both"/>
              <w:rPr>
                <w:rFonts w:cs="Arial"/>
                <w:sz w:val="22"/>
                <w:szCs w:val="22"/>
              </w:rPr>
            </w:pPr>
            <w:r>
              <w:rPr>
                <w:rFonts w:cs="Arial"/>
                <w:sz w:val="22"/>
                <w:szCs w:val="22"/>
              </w:rPr>
              <w:lastRenderedPageBreak/>
              <w:t>21</w:t>
            </w:r>
          </w:p>
        </w:tc>
        <w:tc>
          <w:tcPr>
            <w:tcW w:w="10200" w:type="dxa"/>
          </w:tcPr>
          <w:p w14:paraId="56F57284" w14:textId="775D710A" w:rsidR="0010443D" w:rsidRDefault="0010443D" w:rsidP="00B11059">
            <w:pPr>
              <w:jc w:val="both"/>
              <w:rPr>
                <w:sz w:val="22"/>
                <w:szCs w:val="22"/>
                <w:u w:val="single"/>
              </w:rPr>
            </w:pPr>
            <w:r w:rsidRPr="0010443D">
              <w:rPr>
                <w:sz w:val="22"/>
                <w:szCs w:val="22"/>
                <w:u w:val="single"/>
              </w:rPr>
              <w:t>Other sources of assurance</w:t>
            </w:r>
          </w:p>
          <w:p w14:paraId="56C68198" w14:textId="186692E4" w:rsidR="0010443D" w:rsidRDefault="0010443D" w:rsidP="00B11059">
            <w:pPr>
              <w:jc w:val="both"/>
              <w:rPr>
                <w:sz w:val="22"/>
                <w:szCs w:val="22"/>
                <w:u w:val="single"/>
              </w:rPr>
            </w:pPr>
          </w:p>
          <w:p w14:paraId="321DF32B" w14:textId="2D88606B" w:rsidR="0010443D" w:rsidRPr="004C6BA8" w:rsidRDefault="0010443D" w:rsidP="00B11059">
            <w:pPr>
              <w:jc w:val="both"/>
              <w:rPr>
                <w:sz w:val="22"/>
                <w:szCs w:val="22"/>
              </w:rPr>
            </w:pPr>
            <w:r w:rsidRPr="004C6BA8">
              <w:rPr>
                <w:sz w:val="22"/>
                <w:szCs w:val="22"/>
              </w:rPr>
              <w:t xml:space="preserve">Internal </w:t>
            </w:r>
            <w:r w:rsidR="00EF2907" w:rsidRPr="004C6BA8">
              <w:rPr>
                <w:sz w:val="22"/>
                <w:szCs w:val="22"/>
              </w:rPr>
              <w:t>A</w:t>
            </w:r>
            <w:r w:rsidRPr="004C6BA8">
              <w:rPr>
                <w:sz w:val="22"/>
                <w:szCs w:val="22"/>
              </w:rPr>
              <w:t xml:space="preserve">udit has continued to </w:t>
            </w:r>
            <w:r w:rsidR="00EF2907" w:rsidRPr="004C6BA8">
              <w:rPr>
                <w:sz w:val="22"/>
                <w:szCs w:val="22"/>
              </w:rPr>
              <w:t>consider</w:t>
            </w:r>
            <w:r w:rsidRPr="004C6BA8">
              <w:rPr>
                <w:sz w:val="22"/>
                <w:szCs w:val="22"/>
              </w:rPr>
              <w:t xml:space="preserve"> other forms of assurance received by the </w:t>
            </w:r>
            <w:r w:rsidR="00DB651A">
              <w:rPr>
                <w:sz w:val="22"/>
                <w:szCs w:val="22"/>
              </w:rPr>
              <w:t>Council</w:t>
            </w:r>
            <w:r w:rsidRPr="004C6BA8">
              <w:rPr>
                <w:sz w:val="22"/>
                <w:szCs w:val="22"/>
              </w:rPr>
              <w:t xml:space="preserve">. When preparing the audit plan and when undertaking individual </w:t>
            </w:r>
            <w:r w:rsidR="004C6BA8" w:rsidRPr="004C6BA8">
              <w:rPr>
                <w:sz w:val="22"/>
                <w:szCs w:val="22"/>
              </w:rPr>
              <w:t>reviews,</w:t>
            </w:r>
            <w:r w:rsidRPr="004C6BA8">
              <w:rPr>
                <w:sz w:val="22"/>
                <w:szCs w:val="22"/>
              </w:rPr>
              <w:t xml:space="preserve"> we assess other sources of information available to us</w:t>
            </w:r>
            <w:r w:rsidR="00EF2907" w:rsidRPr="004C6BA8">
              <w:rPr>
                <w:sz w:val="22"/>
                <w:szCs w:val="22"/>
              </w:rPr>
              <w:t xml:space="preserve"> and assess them for the level of reliance which can be placed on them.</w:t>
            </w:r>
          </w:p>
          <w:p w14:paraId="11CD804A" w14:textId="213724E5" w:rsidR="0010443D" w:rsidRDefault="0010443D" w:rsidP="00B11059">
            <w:pPr>
              <w:jc w:val="both"/>
              <w:rPr>
                <w:sz w:val="22"/>
                <w:szCs w:val="22"/>
              </w:rPr>
            </w:pPr>
          </w:p>
        </w:tc>
      </w:tr>
    </w:tbl>
    <w:p w14:paraId="22B959DD" w14:textId="77777777" w:rsidR="00F32EF2" w:rsidRDefault="00F32EF2" w:rsidP="00514D84">
      <w:pPr>
        <w:jc w:val="right"/>
        <w:rPr>
          <w:rFonts w:cs="Arial"/>
          <w:sz w:val="16"/>
          <w:szCs w:val="16"/>
        </w:rPr>
      </w:pPr>
    </w:p>
    <w:p w14:paraId="4CF08BE5" w14:textId="77777777" w:rsidR="00F32EF2" w:rsidRDefault="00F32EF2" w:rsidP="00514D84">
      <w:pPr>
        <w:jc w:val="right"/>
        <w:rPr>
          <w:rFonts w:cs="Arial"/>
          <w:sz w:val="16"/>
          <w:szCs w:val="16"/>
        </w:rPr>
      </w:pPr>
    </w:p>
    <w:tbl>
      <w:tblPr>
        <w:tblStyle w:val="TableGrid"/>
        <w:tblW w:w="10661" w:type="dxa"/>
        <w:tblInd w:w="-1139" w:type="dxa"/>
        <w:tblLook w:val="04A0" w:firstRow="1" w:lastRow="0" w:firstColumn="1" w:lastColumn="0" w:noHBand="0" w:noVBand="1"/>
      </w:tblPr>
      <w:tblGrid>
        <w:gridCol w:w="461"/>
        <w:gridCol w:w="10200"/>
      </w:tblGrid>
      <w:tr w:rsidR="00EF2907" w:rsidRPr="004F596C" w14:paraId="418A036A" w14:textId="77777777" w:rsidTr="00A64F19">
        <w:tc>
          <w:tcPr>
            <w:tcW w:w="461" w:type="dxa"/>
            <w:shd w:val="clear" w:color="auto" w:fill="B8CCE4" w:themeFill="accent1" w:themeFillTint="66"/>
          </w:tcPr>
          <w:p w14:paraId="5D903862" w14:textId="77777777" w:rsidR="00EF2907" w:rsidRPr="00835CA3" w:rsidRDefault="00EF2907" w:rsidP="00B11059">
            <w:pPr>
              <w:jc w:val="both"/>
              <w:rPr>
                <w:rFonts w:cs="Arial"/>
                <w:sz w:val="22"/>
                <w:szCs w:val="22"/>
              </w:rPr>
            </w:pPr>
          </w:p>
        </w:tc>
        <w:tc>
          <w:tcPr>
            <w:tcW w:w="10200" w:type="dxa"/>
            <w:shd w:val="clear" w:color="auto" w:fill="B8CCE4" w:themeFill="accent1" w:themeFillTint="66"/>
          </w:tcPr>
          <w:p w14:paraId="00CFDE26" w14:textId="56098A08" w:rsidR="00EF2907" w:rsidRPr="004F596C" w:rsidRDefault="00EF2907" w:rsidP="00B11059">
            <w:pPr>
              <w:rPr>
                <w:b/>
                <w:bCs/>
              </w:rPr>
            </w:pPr>
            <w:r>
              <w:rPr>
                <w:b/>
                <w:bCs/>
              </w:rPr>
              <w:t>Risk Management</w:t>
            </w:r>
          </w:p>
        </w:tc>
      </w:tr>
      <w:tr w:rsidR="00EF2907" w:rsidRPr="004F596C" w14:paraId="29AE7002" w14:textId="77777777" w:rsidTr="00B11059">
        <w:tc>
          <w:tcPr>
            <w:tcW w:w="461" w:type="dxa"/>
          </w:tcPr>
          <w:p w14:paraId="66B1C868" w14:textId="59DE9BD8" w:rsidR="00EF2907" w:rsidRDefault="00145A2A" w:rsidP="00B11059">
            <w:pPr>
              <w:jc w:val="both"/>
              <w:rPr>
                <w:rFonts w:cs="Arial"/>
                <w:sz w:val="22"/>
                <w:szCs w:val="22"/>
              </w:rPr>
            </w:pPr>
            <w:r>
              <w:rPr>
                <w:rFonts w:cs="Arial"/>
                <w:sz w:val="22"/>
                <w:szCs w:val="22"/>
              </w:rPr>
              <w:t>2</w:t>
            </w:r>
            <w:r w:rsidR="00BF3F33">
              <w:rPr>
                <w:rFonts w:cs="Arial"/>
                <w:sz w:val="22"/>
                <w:szCs w:val="22"/>
              </w:rPr>
              <w:t>2</w:t>
            </w:r>
          </w:p>
        </w:tc>
        <w:tc>
          <w:tcPr>
            <w:tcW w:w="10200" w:type="dxa"/>
          </w:tcPr>
          <w:p w14:paraId="434FA96F" w14:textId="4BCF812E" w:rsidR="00EF2907" w:rsidRDefault="0052571D" w:rsidP="00B11059">
            <w:pPr>
              <w:rPr>
                <w:sz w:val="22"/>
                <w:szCs w:val="22"/>
              </w:rPr>
            </w:pPr>
            <w:r>
              <w:rPr>
                <w:sz w:val="22"/>
                <w:szCs w:val="22"/>
              </w:rPr>
              <w:t xml:space="preserve">Over 2021-2022, </w:t>
            </w:r>
            <w:r w:rsidR="006E29B4">
              <w:rPr>
                <w:sz w:val="22"/>
                <w:szCs w:val="22"/>
              </w:rPr>
              <w:t xml:space="preserve">a significant amount </w:t>
            </w:r>
            <w:r>
              <w:rPr>
                <w:sz w:val="22"/>
                <w:szCs w:val="22"/>
              </w:rPr>
              <w:t xml:space="preserve">work has been undertaken to further embed the </w:t>
            </w:r>
            <w:r w:rsidR="00DB651A">
              <w:rPr>
                <w:sz w:val="22"/>
                <w:szCs w:val="22"/>
              </w:rPr>
              <w:t>Council</w:t>
            </w:r>
            <w:r>
              <w:rPr>
                <w:sz w:val="22"/>
                <w:szCs w:val="22"/>
              </w:rPr>
              <w:t>’s risk management arrangements.    This includes:</w:t>
            </w:r>
          </w:p>
          <w:p w14:paraId="12DB7874" w14:textId="77777777" w:rsidR="0052571D" w:rsidRDefault="0052571D" w:rsidP="00B11059">
            <w:pPr>
              <w:rPr>
                <w:sz w:val="22"/>
                <w:szCs w:val="22"/>
              </w:rPr>
            </w:pPr>
          </w:p>
          <w:p w14:paraId="18A07522" w14:textId="012D88C8" w:rsidR="0052571D" w:rsidRDefault="0052571D" w:rsidP="0052571D">
            <w:pPr>
              <w:pStyle w:val="ListParagraph"/>
              <w:numPr>
                <w:ilvl w:val="0"/>
                <w:numId w:val="11"/>
              </w:numPr>
              <w:rPr>
                <w:sz w:val="22"/>
                <w:szCs w:val="22"/>
              </w:rPr>
            </w:pPr>
            <w:r>
              <w:rPr>
                <w:sz w:val="22"/>
                <w:szCs w:val="22"/>
              </w:rPr>
              <w:t>Development and approval of the Risk Management Strategy;</w:t>
            </w:r>
          </w:p>
          <w:p w14:paraId="4AE50CF0" w14:textId="555AF106" w:rsidR="0052571D" w:rsidRDefault="0052571D" w:rsidP="0052571D">
            <w:pPr>
              <w:pStyle w:val="ListParagraph"/>
              <w:numPr>
                <w:ilvl w:val="0"/>
                <w:numId w:val="11"/>
              </w:numPr>
              <w:rPr>
                <w:sz w:val="22"/>
                <w:szCs w:val="22"/>
              </w:rPr>
            </w:pPr>
            <w:r>
              <w:rPr>
                <w:sz w:val="22"/>
                <w:szCs w:val="22"/>
              </w:rPr>
              <w:t xml:space="preserve">Re-launch of the </w:t>
            </w:r>
            <w:r w:rsidR="00DB651A">
              <w:rPr>
                <w:sz w:val="22"/>
                <w:szCs w:val="22"/>
              </w:rPr>
              <w:t>Council</w:t>
            </w:r>
            <w:r>
              <w:rPr>
                <w:sz w:val="22"/>
                <w:szCs w:val="22"/>
              </w:rPr>
              <w:t xml:space="preserve">’s GRACE risk management system; </w:t>
            </w:r>
          </w:p>
          <w:p w14:paraId="64EA8B1D" w14:textId="7416A580" w:rsidR="0052571D" w:rsidRDefault="0052571D" w:rsidP="0052571D">
            <w:pPr>
              <w:pStyle w:val="ListParagraph"/>
              <w:numPr>
                <w:ilvl w:val="0"/>
                <w:numId w:val="11"/>
              </w:numPr>
              <w:rPr>
                <w:sz w:val="22"/>
                <w:szCs w:val="22"/>
              </w:rPr>
            </w:pPr>
            <w:r>
              <w:rPr>
                <w:sz w:val="22"/>
                <w:szCs w:val="22"/>
              </w:rPr>
              <w:t>Individual officer training delivered to over 1</w:t>
            </w:r>
            <w:r w:rsidR="006E29B4">
              <w:rPr>
                <w:sz w:val="22"/>
                <w:szCs w:val="22"/>
              </w:rPr>
              <w:t>4</w:t>
            </w:r>
            <w:r>
              <w:rPr>
                <w:sz w:val="22"/>
                <w:szCs w:val="22"/>
              </w:rPr>
              <w:t xml:space="preserve">0 officers </w:t>
            </w:r>
            <w:r w:rsidR="003C463B">
              <w:rPr>
                <w:sz w:val="22"/>
                <w:szCs w:val="22"/>
              </w:rPr>
              <w:t xml:space="preserve">within the </w:t>
            </w:r>
            <w:r w:rsidR="00DB651A">
              <w:rPr>
                <w:sz w:val="22"/>
                <w:szCs w:val="22"/>
              </w:rPr>
              <w:t>Council</w:t>
            </w:r>
            <w:r w:rsidR="003C463B">
              <w:rPr>
                <w:sz w:val="22"/>
                <w:szCs w:val="22"/>
              </w:rPr>
              <w:t xml:space="preserve"> and leisure company for </w:t>
            </w:r>
            <w:r>
              <w:rPr>
                <w:sz w:val="22"/>
                <w:szCs w:val="22"/>
              </w:rPr>
              <w:t>risk management and the use of GRACE;</w:t>
            </w:r>
          </w:p>
          <w:p w14:paraId="08D6C8E4" w14:textId="7C2DA7F9" w:rsidR="0052571D" w:rsidRDefault="0052571D" w:rsidP="0052571D">
            <w:pPr>
              <w:pStyle w:val="ListParagraph"/>
              <w:numPr>
                <w:ilvl w:val="0"/>
                <w:numId w:val="11"/>
              </w:numPr>
              <w:rPr>
                <w:sz w:val="22"/>
                <w:szCs w:val="22"/>
              </w:rPr>
            </w:pPr>
            <w:r>
              <w:rPr>
                <w:sz w:val="22"/>
                <w:szCs w:val="22"/>
              </w:rPr>
              <w:t>Dedicated risk management training for members;</w:t>
            </w:r>
          </w:p>
          <w:p w14:paraId="7E92064C" w14:textId="3A8C1AC4" w:rsidR="003C463B" w:rsidRDefault="003C463B" w:rsidP="0052571D">
            <w:pPr>
              <w:pStyle w:val="ListParagraph"/>
              <w:numPr>
                <w:ilvl w:val="0"/>
                <w:numId w:val="11"/>
              </w:numPr>
              <w:rPr>
                <w:sz w:val="22"/>
                <w:szCs w:val="22"/>
              </w:rPr>
            </w:pPr>
            <w:r>
              <w:rPr>
                <w:sz w:val="22"/>
                <w:szCs w:val="22"/>
              </w:rPr>
              <w:t>Mandatory risk management training for all members of staff through the corporate Learning Hub;</w:t>
            </w:r>
          </w:p>
          <w:p w14:paraId="18C7EF6E" w14:textId="2BEBB143" w:rsidR="0052571D" w:rsidRDefault="0052571D" w:rsidP="0052571D">
            <w:pPr>
              <w:pStyle w:val="ListParagraph"/>
              <w:numPr>
                <w:ilvl w:val="0"/>
                <w:numId w:val="11"/>
              </w:numPr>
              <w:rPr>
                <w:sz w:val="22"/>
                <w:szCs w:val="22"/>
              </w:rPr>
            </w:pPr>
            <w:r>
              <w:rPr>
                <w:sz w:val="22"/>
                <w:szCs w:val="22"/>
              </w:rPr>
              <w:t xml:space="preserve">Review of the </w:t>
            </w:r>
            <w:r w:rsidR="004C6BA8">
              <w:rPr>
                <w:sz w:val="22"/>
                <w:szCs w:val="22"/>
              </w:rPr>
              <w:t>Corporate Risk Register by the Senior Management Team and Governance Committee;</w:t>
            </w:r>
          </w:p>
          <w:p w14:paraId="0BFC2BF0" w14:textId="79E18E42" w:rsidR="003C463B" w:rsidRDefault="003C463B" w:rsidP="0052571D">
            <w:pPr>
              <w:pStyle w:val="ListParagraph"/>
              <w:numPr>
                <w:ilvl w:val="0"/>
                <w:numId w:val="11"/>
              </w:numPr>
              <w:rPr>
                <w:sz w:val="22"/>
                <w:szCs w:val="22"/>
              </w:rPr>
            </w:pPr>
            <w:r>
              <w:rPr>
                <w:sz w:val="22"/>
                <w:szCs w:val="22"/>
              </w:rPr>
              <w:t>Development of risk registers to capture risks and mitigations for a range of activities, including corporate strategy projects, business planning, partnerships and operational risks;</w:t>
            </w:r>
          </w:p>
          <w:p w14:paraId="5D1B7CE0" w14:textId="310C3EC4" w:rsidR="00347B87" w:rsidRDefault="00347B87" w:rsidP="0052571D">
            <w:pPr>
              <w:pStyle w:val="ListParagraph"/>
              <w:numPr>
                <w:ilvl w:val="0"/>
                <w:numId w:val="11"/>
              </w:numPr>
              <w:rPr>
                <w:sz w:val="22"/>
                <w:szCs w:val="22"/>
              </w:rPr>
            </w:pPr>
            <w:r>
              <w:rPr>
                <w:sz w:val="22"/>
                <w:szCs w:val="22"/>
              </w:rPr>
              <w:t xml:space="preserve">Consideration of risk in all committee / </w:t>
            </w:r>
            <w:r w:rsidR="00DB651A">
              <w:rPr>
                <w:sz w:val="22"/>
                <w:szCs w:val="22"/>
              </w:rPr>
              <w:t>Council</w:t>
            </w:r>
            <w:r>
              <w:rPr>
                <w:sz w:val="22"/>
                <w:szCs w:val="22"/>
              </w:rPr>
              <w:t xml:space="preserve"> reports;</w:t>
            </w:r>
          </w:p>
          <w:p w14:paraId="3D6FFEFD" w14:textId="60531F90" w:rsidR="003C463B" w:rsidRDefault="003C463B" w:rsidP="0052571D">
            <w:pPr>
              <w:pStyle w:val="ListParagraph"/>
              <w:numPr>
                <w:ilvl w:val="0"/>
                <w:numId w:val="11"/>
              </w:numPr>
              <w:rPr>
                <w:sz w:val="22"/>
                <w:szCs w:val="22"/>
              </w:rPr>
            </w:pPr>
            <w:r>
              <w:rPr>
                <w:sz w:val="22"/>
                <w:szCs w:val="22"/>
              </w:rPr>
              <w:t xml:space="preserve">Risk </w:t>
            </w:r>
            <w:r w:rsidR="00347B87">
              <w:rPr>
                <w:sz w:val="22"/>
                <w:szCs w:val="22"/>
              </w:rPr>
              <w:t>management as a standing item on Directorate monthly meetings;</w:t>
            </w:r>
          </w:p>
          <w:p w14:paraId="1CAD2760" w14:textId="77777777" w:rsidR="004C6BA8" w:rsidRDefault="00347B87" w:rsidP="0052571D">
            <w:pPr>
              <w:pStyle w:val="ListParagraph"/>
              <w:numPr>
                <w:ilvl w:val="0"/>
                <w:numId w:val="11"/>
              </w:numPr>
              <w:rPr>
                <w:sz w:val="22"/>
                <w:szCs w:val="22"/>
              </w:rPr>
            </w:pPr>
            <w:r>
              <w:rPr>
                <w:sz w:val="22"/>
                <w:szCs w:val="22"/>
              </w:rPr>
              <w:t>Development of reports for the Officer Corporate Governance Group and Directors.</w:t>
            </w:r>
          </w:p>
          <w:p w14:paraId="4A729AEE" w14:textId="65BCF26D" w:rsidR="00347B87" w:rsidRPr="0052571D" w:rsidRDefault="00347B87" w:rsidP="00347B87">
            <w:pPr>
              <w:pStyle w:val="ListParagraph"/>
              <w:rPr>
                <w:sz w:val="22"/>
                <w:szCs w:val="22"/>
              </w:rPr>
            </w:pPr>
          </w:p>
        </w:tc>
      </w:tr>
      <w:tr w:rsidR="00EF2907" w:rsidRPr="00BE632F" w14:paraId="54B53391" w14:textId="77777777" w:rsidTr="00B11059">
        <w:tc>
          <w:tcPr>
            <w:tcW w:w="461" w:type="dxa"/>
          </w:tcPr>
          <w:p w14:paraId="240BC483" w14:textId="40799770" w:rsidR="00EF2907" w:rsidRDefault="00145A2A" w:rsidP="00B11059">
            <w:pPr>
              <w:jc w:val="both"/>
              <w:rPr>
                <w:rFonts w:cs="Arial"/>
                <w:sz w:val="22"/>
                <w:szCs w:val="22"/>
              </w:rPr>
            </w:pPr>
            <w:r>
              <w:rPr>
                <w:rFonts w:cs="Arial"/>
                <w:sz w:val="22"/>
                <w:szCs w:val="22"/>
              </w:rPr>
              <w:t>2</w:t>
            </w:r>
            <w:r w:rsidR="00BF3F33">
              <w:rPr>
                <w:rFonts w:cs="Arial"/>
                <w:sz w:val="22"/>
                <w:szCs w:val="22"/>
              </w:rPr>
              <w:t>3</w:t>
            </w:r>
          </w:p>
        </w:tc>
        <w:tc>
          <w:tcPr>
            <w:tcW w:w="10200" w:type="dxa"/>
          </w:tcPr>
          <w:p w14:paraId="28D5FD82" w14:textId="2E0D15FB" w:rsidR="00EF2907" w:rsidRDefault="00347B87" w:rsidP="00B11059">
            <w:pPr>
              <w:jc w:val="both"/>
              <w:rPr>
                <w:sz w:val="22"/>
                <w:szCs w:val="22"/>
              </w:rPr>
            </w:pPr>
            <w:r w:rsidRPr="00347B87">
              <w:rPr>
                <w:sz w:val="22"/>
                <w:szCs w:val="22"/>
              </w:rPr>
              <w:t xml:space="preserve">It is acknowledged that whilst progress has been made over the past 12 months to embed risk management, there is still </w:t>
            </w:r>
            <w:proofErr w:type="gramStart"/>
            <w:r w:rsidRPr="00347B87">
              <w:rPr>
                <w:sz w:val="22"/>
                <w:szCs w:val="22"/>
              </w:rPr>
              <w:t>work</w:t>
            </w:r>
            <w:proofErr w:type="gramEnd"/>
            <w:r w:rsidRPr="00347B87">
              <w:rPr>
                <w:sz w:val="22"/>
                <w:szCs w:val="22"/>
              </w:rPr>
              <w:t xml:space="preserve"> to do to further improve and this is recognized by the action contained within the Annual Governance Statement Action Plan.</w:t>
            </w:r>
          </w:p>
          <w:p w14:paraId="7B6E6212" w14:textId="2C82968A" w:rsidR="00347B87" w:rsidRPr="00347B87" w:rsidRDefault="00347B87" w:rsidP="00B11059">
            <w:pPr>
              <w:jc w:val="both"/>
              <w:rPr>
                <w:sz w:val="22"/>
                <w:szCs w:val="22"/>
              </w:rPr>
            </w:pPr>
          </w:p>
        </w:tc>
      </w:tr>
    </w:tbl>
    <w:p w14:paraId="18E08CFF" w14:textId="77777777" w:rsidR="00F32EF2" w:rsidRDefault="00F32EF2" w:rsidP="00514D84">
      <w:pPr>
        <w:jc w:val="right"/>
        <w:rPr>
          <w:rFonts w:cs="Arial"/>
          <w:sz w:val="16"/>
          <w:szCs w:val="16"/>
        </w:rPr>
      </w:pPr>
    </w:p>
    <w:tbl>
      <w:tblPr>
        <w:tblStyle w:val="TableGrid"/>
        <w:tblW w:w="10661" w:type="dxa"/>
        <w:tblInd w:w="-1139" w:type="dxa"/>
        <w:tblLook w:val="04A0" w:firstRow="1" w:lastRow="0" w:firstColumn="1" w:lastColumn="0" w:noHBand="0" w:noVBand="1"/>
      </w:tblPr>
      <w:tblGrid>
        <w:gridCol w:w="461"/>
        <w:gridCol w:w="10200"/>
      </w:tblGrid>
      <w:tr w:rsidR="0052571D" w:rsidRPr="004F596C" w14:paraId="0CB7E12A" w14:textId="77777777" w:rsidTr="00A64F19">
        <w:tc>
          <w:tcPr>
            <w:tcW w:w="461" w:type="dxa"/>
            <w:shd w:val="clear" w:color="auto" w:fill="B8CCE4" w:themeFill="accent1" w:themeFillTint="66"/>
          </w:tcPr>
          <w:p w14:paraId="4648AE9E" w14:textId="77777777" w:rsidR="0052571D" w:rsidRPr="00835CA3" w:rsidRDefault="0052571D" w:rsidP="00B11059">
            <w:pPr>
              <w:jc w:val="both"/>
              <w:rPr>
                <w:rFonts w:cs="Arial"/>
                <w:sz w:val="22"/>
                <w:szCs w:val="22"/>
              </w:rPr>
            </w:pPr>
          </w:p>
        </w:tc>
        <w:tc>
          <w:tcPr>
            <w:tcW w:w="10200" w:type="dxa"/>
            <w:shd w:val="clear" w:color="auto" w:fill="B8CCE4" w:themeFill="accent1" w:themeFillTint="66"/>
          </w:tcPr>
          <w:p w14:paraId="6D5FBBE3" w14:textId="0EAE0B7B" w:rsidR="0052571D" w:rsidRPr="004F596C" w:rsidRDefault="0052571D" w:rsidP="00B11059">
            <w:pPr>
              <w:rPr>
                <w:b/>
                <w:bCs/>
              </w:rPr>
            </w:pPr>
            <w:r>
              <w:rPr>
                <w:b/>
                <w:bCs/>
              </w:rPr>
              <w:t>Public Sector Internal Audit Standards</w:t>
            </w:r>
            <w:r w:rsidR="00E16F42">
              <w:rPr>
                <w:b/>
                <w:bCs/>
              </w:rPr>
              <w:t xml:space="preserve"> (PSIAS)</w:t>
            </w:r>
          </w:p>
        </w:tc>
      </w:tr>
      <w:tr w:rsidR="00E16F42" w:rsidRPr="004F596C" w14:paraId="4930F0B7" w14:textId="77777777" w:rsidTr="00B11059">
        <w:tc>
          <w:tcPr>
            <w:tcW w:w="461" w:type="dxa"/>
          </w:tcPr>
          <w:p w14:paraId="4F26FC2C" w14:textId="66A743F0" w:rsidR="00E16F42" w:rsidRDefault="00145A2A" w:rsidP="00B11059">
            <w:pPr>
              <w:jc w:val="both"/>
              <w:rPr>
                <w:rFonts w:cs="Arial"/>
                <w:sz w:val="22"/>
                <w:szCs w:val="22"/>
              </w:rPr>
            </w:pPr>
            <w:r>
              <w:rPr>
                <w:rFonts w:cs="Arial"/>
                <w:sz w:val="22"/>
                <w:szCs w:val="22"/>
              </w:rPr>
              <w:t>2</w:t>
            </w:r>
            <w:r w:rsidR="00BF3F33">
              <w:rPr>
                <w:rFonts w:cs="Arial"/>
                <w:sz w:val="22"/>
                <w:szCs w:val="22"/>
              </w:rPr>
              <w:t>4</w:t>
            </w:r>
          </w:p>
        </w:tc>
        <w:tc>
          <w:tcPr>
            <w:tcW w:w="10200" w:type="dxa"/>
          </w:tcPr>
          <w:p w14:paraId="1D366864" w14:textId="70183B40" w:rsidR="00E16F42" w:rsidRDefault="00E16F42" w:rsidP="00E16F42">
            <w:pPr>
              <w:autoSpaceDE w:val="0"/>
              <w:autoSpaceDN w:val="0"/>
              <w:adjustRightInd w:val="0"/>
              <w:spacing w:after="160" w:line="259" w:lineRule="auto"/>
              <w:contextualSpacing/>
              <w:rPr>
                <w:rFonts w:asciiTheme="majorHAnsi" w:eastAsiaTheme="minorHAnsi" w:hAnsiTheme="majorHAnsi" w:cstheme="majorHAnsi"/>
                <w:sz w:val="22"/>
                <w:szCs w:val="22"/>
              </w:rPr>
            </w:pPr>
            <w:r w:rsidRPr="00E16F42">
              <w:rPr>
                <w:rFonts w:eastAsiaTheme="minorHAnsi" w:cs="Arial"/>
                <w:sz w:val="22"/>
                <w:szCs w:val="22"/>
              </w:rPr>
              <w:t>In accordance with the PSIAS, the Chief Internal Auditor (Service Lead Audit and Risk) has established a quality assurance and improvement programme (QAIP) that covers all aspects of the internal audit activity. The QAIP must include both internal and external assessments.</w:t>
            </w:r>
            <w:r>
              <w:rPr>
                <w:rFonts w:eastAsiaTheme="minorHAnsi" w:cs="Arial"/>
                <w:sz w:val="22"/>
                <w:szCs w:val="22"/>
              </w:rPr>
              <w:t xml:space="preserve">  This is included as a separate item on this agenda.</w:t>
            </w:r>
          </w:p>
          <w:p w14:paraId="25A5155A" w14:textId="77777777" w:rsidR="00E16F42" w:rsidRDefault="00E16F42" w:rsidP="00B11059">
            <w:pPr>
              <w:rPr>
                <w:sz w:val="22"/>
                <w:szCs w:val="22"/>
              </w:rPr>
            </w:pPr>
          </w:p>
        </w:tc>
      </w:tr>
      <w:tr w:rsidR="00E16F42" w:rsidRPr="004F596C" w14:paraId="0BECB037" w14:textId="77777777" w:rsidTr="00B11059">
        <w:tc>
          <w:tcPr>
            <w:tcW w:w="461" w:type="dxa"/>
          </w:tcPr>
          <w:p w14:paraId="499B3DD5" w14:textId="523AB0EF" w:rsidR="00E16F42" w:rsidRDefault="00E16F42" w:rsidP="00B11059">
            <w:pPr>
              <w:jc w:val="both"/>
              <w:rPr>
                <w:rFonts w:cs="Arial"/>
                <w:sz w:val="22"/>
                <w:szCs w:val="22"/>
              </w:rPr>
            </w:pPr>
            <w:r>
              <w:rPr>
                <w:rFonts w:cs="Arial"/>
                <w:sz w:val="22"/>
                <w:szCs w:val="22"/>
              </w:rPr>
              <w:t>2</w:t>
            </w:r>
            <w:r w:rsidR="00BF3F33">
              <w:rPr>
                <w:rFonts w:cs="Arial"/>
                <w:sz w:val="22"/>
                <w:szCs w:val="22"/>
              </w:rPr>
              <w:t>5</w:t>
            </w:r>
          </w:p>
        </w:tc>
        <w:tc>
          <w:tcPr>
            <w:tcW w:w="10200" w:type="dxa"/>
          </w:tcPr>
          <w:p w14:paraId="5B492553" w14:textId="77777777" w:rsidR="00E16F42" w:rsidRPr="00E16F42" w:rsidRDefault="00E16F42" w:rsidP="00E16F42">
            <w:pPr>
              <w:autoSpaceDE w:val="0"/>
              <w:autoSpaceDN w:val="0"/>
              <w:adjustRightInd w:val="0"/>
              <w:spacing w:after="160" w:line="259" w:lineRule="auto"/>
              <w:ind w:left="-3"/>
              <w:contextualSpacing/>
              <w:rPr>
                <w:rFonts w:eastAsiaTheme="minorHAnsi" w:cs="Arial"/>
                <w:sz w:val="22"/>
                <w:szCs w:val="22"/>
              </w:rPr>
            </w:pPr>
            <w:r w:rsidRPr="00E16F42">
              <w:rPr>
                <w:rFonts w:eastAsiaTheme="minorHAnsi" w:cs="Arial"/>
                <w:sz w:val="22"/>
                <w:szCs w:val="22"/>
              </w:rPr>
              <w:t>The internal assessments include the following:</w:t>
            </w:r>
          </w:p>
          <w:p w14:paraId="2029CCC0" w14:textId="77777777" w:rsidR="00E16F42" w:rsidRPr="00E16F42" w:rsidRDefault="00E16F42" w:rsidP="00E16F42">
            <w:pPr>
              <w:autoSpaceDE w:val="0"/>
              <w:autoSpaceDN w:val="0"/>
              <w:adjustRightInd w:val="0"/>
              <w:rPr>
                <w:rFonts w:eastAsiaTheme="minorHAnsi" w:cs="Arial"/>
                <w:sz w:val="22"/>
                <w:szCs w:val="22"/>
              </w:rPr>
            </w:pPr>
          </w:p>
          <w:p w14:paraId="07F5E3CD" w14:textId="0C5AF211" w:rsidR="000E7D1B" w:rsidRPr="000E7D1B" w:rsidRDefault="00E16F42" w:rsidP="000E7D1B">
            <w:pPr>
              <w:pStyle w:val="ListParagraph"/>
              <w:numPr>
                <w:ilvl w:val="0"/>
                <w:numId w:val="13"/>
              </w:numPr>
              <w:autoSpaceDE w:val="0"/>
              <w:autoSpaceDN w:val="0"/>
              <w:adjustRightInd w:val="0"/>
              <w:spacing w:after="160" w:line="259" w:lineRule="auto"/>
              <w:ind w:left="848" w:hanging="426"/>
              <w:contextualSpacing/>
              <w:rPr>
                <w:rFonts w:eastAsiaTheme="minorHAnsi" w:cs="Arial"/>
                <w:b/>
                <w:bCs/>
                <w:sz w:val="22"/>
                <w:szCs w:val="22"/>
              </w:rPr>
            </w:pPr>
            <w:r w:rsidRPr="00E16F42">
              <w:rPr>
                <w:rFonts w:eastAsiaTheme="minorHAnsi" w:cs="Arial"/>
                <w:sz w:val="22"/>
                <w:szCs w:val="22"/>
              </w:rPr>
              <w:t xml:space="preserve">An annual self-assessment of the effectiveness of the Internal Audit Service audit service using the PSIAS and Local Government Application Note.  From this assessment an </w:t>
            </w:r>
            <w:proofErr w:type="gramStart"/>
            <w:r w:rsidRPr="00E16F42">
              <w:rPr>
                <w:rFonts w:eastAsiaTheme="minorHAnsi" w:cs="Arial"/>
                <w:sz w:val="22"/>
                <w:szCs w:val="22"/>
              </w:rPr>
              <w:t>action plan highlighting areas</w:t>
            </w:r>
            <w:proofErr w:type="gramEnd"/>
            <w:r w:rsidRPr="00E16F42">
              <w:rPr>
                <w:rFonts w:eastAsiaTheme="minorHAnsi" w:cs="Arial"/>
                <w:sz w:val="22"/>
                <w:szCs w:val="22"/>
              </w:rPr>
              <w:t xml:space="preserve"> for improvements will be developed. </w:t>
            </w:r>
          </w:p>
          <w:p w14:paraId="7EA0B54B" w14:textId="6AA99CEB" w:rsidR="00E16F42" w:rsidRPr="00E16F42" w:rsidRDefault="00E16F42" w:rsidP="000E7D1B">
            <w:pPr>
              <w:pStyle w:val="ListParagraph"/>
              <w:autoSpaceDE w:val="0"/>
              <w:autoSpaceDN w:val="0"/>
              <w:adjustRightInd w:val="0"/>
              <w:spacing w:after="160" w:line="259" w:lineRule="auto"/>
              <w:ind w:left="848"/>
              <w:contextualSpacing/>
              <w:rPr>
                <w:rFonts w:eastAsiaTheme="minorHAnsi" w:cs="Arial"/>
                <w:b/>
                <w:bCs/>
                <w:sz w:val="22"/>
                <w:szCs w:val="22"/>
              </w:rPr>
            </w:pPr>
            <w:r w:rsidRPr="00E16F42">
              <w:rPr>
                <w:rFonts w:eastAsiaTheme="minorHAnsi" w:cs="Arial"/>
                <w:sz w:val="22"/>
                <w:szCs w:val="22"/>
              </w:rPr>
              <w:t xml:space="preserve">  </w:t>
            </w:r>
          </w:p>
          <w:p w14:paraId="639FFE53" w14:textId="49C443E1" w:rsidR="00E16F42" w:rsidRPr="00E16F42" w:rsidRDefault="00E16F42" w:rsidP="000E7D1B">
            <w:pPr>
              <w:pStyle w:val="ListParagraph"/>
              <w:numPr>
                <w:ilvl w:val="0"/>
                <w:numId w:val="13"/>
              </w:numPr>
              <w:autoSpaceDE w:val="0"/>
              <w:autoSpaceDN w:val="0"/>
              <w:adjustRightInd w:val="0"/>
              <w:spacing w:after="160" w:line="259" w:lineRule="auto"/>
              <w:ind w:left="848" w:hanging="426"/>
              <w:contextualSpacing/>
              <w:rPr>
                <w:rFonts w:eastAsiaTheme="minorHAnsi" w:cs="Arial"/>
                <w:sz w:val="22"/>
                <w:szCs w:val="22"/>
              </w:rPr>
            </w:pPr>
            <w:r w:rsidRPr="000E7D1B">
              <w:rPr>
                <w:rFonts w:eastAsiaTheme="minorHAnsi" w:cs="Arial"/>
                <w:sz w:val="22"/>
                <w:szCs w:val="22"/>
              </w:rPr>
              <w:t xml:space="preserve">Day-to-day monitoring of compliance with the procedures and audit methodology that conform to the PSIAS, which will be regularly reviewed.  All documentation used throughout the whole Internal Audit process is required to comply with the standards and this is recorded on final reports.  </w:t>
            </w:r>
          </w:p>
        </w:tc>
      </w:tr>
      <w:tr w:rsidR="00E16F42" w:rsidRPr="004F596C" w14:paraId="0295E024" w14:textId="77777777" w:rsidTr="00B11059">
        <w:tc>
          <w:tcPr>
            <w:tcW w:w="461" w:type="dxa"/>
          </w:tcPr>
          <w:p w14:paraId="6E9B8ADF" w14:textId="67878F46" w:rsidR="00E16F42" w:rsidRDefault="00E16F42" w:rsidP="00B11059">
            <w:pPr>
              <w:jc w:val="both"/>
              <w:rPr>
                <w:rFonts w:cs="Arial"/>
                <w:sz w:val="22"/>
                <w:szCs w:val="22"/>
              </w:rPr>
            </w:pPr>
            <w:r>
              <w:rPr>
                <w:rFonts w:cs="Arial"/>
                <w:sz w:val="22"/>
                <w:szCs w:val="22"/>
              </w:rPr>
              <w:t>2</w:t>
            </w:r>
            <w:r w:rsidR="00BF3F33">
              <w:rPr>
                <w:rFonts w:cs="Arial"/>
                <w:sz w:val="22"/>
                <w:szCs w:val="22"/>
              </w:rPr>
              <w:t>6</w:t>
            </w:r>
          </w:p>
        </w:tc>
        <w:tc>
          <w:tcPr>
            <w:tcW w:w="10200" w:type="dxa"/>
          </w:tcPr>
          <w:p w14:paraId="6F34C70A" w14:textId="77777777" w:rsidR="00E16F42" w:rsidRPr="00E16F42" w:rsidRDefault="00E16F42" w:rsidP="000E7D1B">
            <w:pPr>
              <w:autoSpaceDE w:val="0"/>
              <w:autoSpaceDN w:val="0"/>
              <w:adjustRightInd w:val="0"/>
              <w:spacing w:after="160" w:line="259" w:lineRule="auto"/>
              <w:contextualSpacing/>
              <w:rPr>
                <w:rFonts w:eastAsiaTheme="minorHAnsi" w:cs="Arial"/>
                <w:sz w:val="22"/>
                <w:szCs w:val="22"/>
              </w:rPr>
            </w:pPr>
            <w:r w:rsidRPr="00E16F42">
              <w:rPr>
                <w:rFonts w:eastAsiaTheme="minorHAnsi" w:cs="Arial"/>
                <w:sz w:val="22"/>
                <w:szCs w:val="22"/>
              </w:rPr>
              <w:t>An external assessment must be undertaken once every 5 years.  This was last undertaken in April 2018 and reported to the Governance Committee in May 2018.  The assessment provides an external validation of the self-assessment with next assessment planned for 2023.</w:t>
            </w:r>
          </w:p>
          <w:p w14:paraId="602B923C" w14:textId="77777777" w:rsidR="00E16F42" w:rsidRPr="00E16F42" w:rsidRDefault="00E16F42" w:rsidP="00E16F42">
            <w:pPr>
              <w:autoSpaceDE w:val="0"/>
              <w:autoSpaceDN w:val="0"/>
              <w:adjustRightInd w:val="0"/>
              <w:spacing w:after="160" w:line="259" w:lineRule="auto"/>
              <w:ind w:left="-3"/>
              <w:contextualSpacing/>
              <w:rPr>
                <w:rFonts w:eastAsiaTheme="minorHAnsi" w:cs="Arial"/>
                <w:sz w:val="22"/>
                <w:szCs w:val="22"/>
              </w:rPr>
            </w:pPr>
          </w:p>
        </w:tc>
      </w:tr>
      <w:tr w:rsidR="0052571D" w:rsidRPr="004F596C" w14:paraId="777233DB" w14:textId="77777777" w:rsidTr="00B11059">
        <w:tc>
          <w:tcPr>
            <w:tcW w:w="461" w:type="dxa"/>
          </w:tcPr>
          <w:p w14:paraId="0545B8BE" w14:textId="7D29D4EF" w:rsidR="0052571D" w:rsidRDefault="000E7D1B" w:rsidP="00B11059">
            <w:pPr>
              <w:jc w:val="both"/>
              <w:rPr>
                <w:rFonts w:cs="Arial"/>
                <w:sz w:val="22"/>
                <w:szCs w:val="22"/>
              </w:rPr>
            </w:pPr>
            <w:r>
              <w:rPr>
                <w:rFonts w:cs="Arial"/>
                <w:sz w:val="22"/>
                <w:szCs w:val="22"/>
              </w:rPr>
              <w:lastRenderedPageBreak/>
              <w:t>2</w:t>
            </w:r>
            <w:r w:rsidR="00BF3F33">
              <w:rPr>
                <w:rFonts w:cs="Arial"/>
                <w:sz w:val="22"/>
                <w:szCs w:val="22"/>
              </w:rPr>
              <w:t>7</w:t>
            </w:r>
          </w:p>
        </w:tc>
        <w:tc>
          <w:tcPr>
            <w:tcW w:w="10200" w:type="dxa"/>
          </w:tcPr>
          <w:p w14:paraId="28988CBC" w14:textId="1238CBFF" w:rsidR="00E16F42" w:rsidRDefault="000E7D1B" w:rsidP="00B11059">
            <w:pPr>
              <w:rPr>
                <w:sz w:val="22"/>
                <w:szCs w:val="22"/>
              </w:rPr>
            </w:pPr>
            <w:r w:rsidRPr="000E7D1B">
              <w:rPr>
                <w:rFonts w:eastAsiaTheme="minorHAnsi" w:cs="Arial"/>
                <w:sz w:val="22"/>
                <w:szCs w:val="22"/>
              </w:rPr>
              <w:t>The internal annual self-assessment has now been conducted and the results are included as a separate report on the agenda.</w:t>
            </w:r>
            <w:r>
              <w:rPr>
                <w:rFonts w:asciiTheme="majorHAnsi" w:eastAsiaTheme="minorHAnsi" w:hAnsiTheme="majorHAnsi" w:cstheme="majorHAnsi"/>
                <w:sz w:val="22"/>
                <w:szCs w:val="22"/>
              </w:rPr>
              <w:t xml:space="preserve">  </w:t>
            </w:r>
            <w:r w:rsidR="00E16F42" w:rsidRPr="00E16F42">
              <w:rPr>
                <w:sz w:val="22"/>
                <w:szCs w:val="22"/>
              </w:rPr>
              <w:t xml:space="preserve">This review confirmed that the </w:t>
            </w:r>
            <w:r w:rsidR="00E16F42">
              <w:rPr>
                <w:sz w:val="22"/>
                <w:szCs w:val="22"/>
              </w:rPr>
              <w:t xml:space="preserve">Service largely </w:t>
            </w:r>
            <w:r w:rsidR="00E16F42" w:rsidRPr="00E16F42">
              <w:rPr>
                <w:sz w:val="22"/>
                <w:szCs w:val="22"/>
              </w:rPr>
              <w:t xml:space="preserve">conforms to the professional standards. </w:t>
            </w:r>
            <w:r>
              <w:rPr>
                <w:sz w:val="22"/>
                <w:szCs w:val="22"/>
              </w:rPr>
              <w:t>All areas identified for improvement from the review from 2021 have been implemented with o</w:t>
            </w:r>
            <w:r w:rsidR="00E16F42">
              <w:rPr>
                <w:sz w:val="22"/>
                <w:szCs w:val="22"/>
              </w:rPr>
              <w:t xml:space="preserve">nly one area identified as a partial conformance and is included on the action plan to progress over the coming months. </w:t>
            </w:r>
          </w:p>
          <w:p w14:paraId="7DF76452" w14:textId="77777777" w:rsidR="00E16F42" w:rsidRDefault="00E16F42" w:rsidP="00B11059">
            <w:pPr>
              <w:rPr>
                <w:sz w:val="22"/>
                <w:szCs w:val="22"/>
              </w:rPr>
            </w:pPr>
          </w:p>
          <w:p w14:paraId="5ECCF224" w14:textId="198652AF" w:rsidR="0052571D" w:rsidRPr="00E16F42" w:rsidRDefault="00E16F42" w:rsidP="00B11059">
            <w:pPr>
              <w:rPr>
                <w:sz w:val="22"/>
                <w:szCs w:val="22"/>
              </w:rPr>
            </w:pPr>
            <w:r>
              <w:rPr>
                <w:sz w:val="22"/>
                <w:szCs w:val="22"/>
              </w:rPr>
              <w:t xml:space="preserve">Members will recall that the Internal Audit Service </w:t>
            </w:r>
            <w:r w:rsidR="000E7D1B">
              <w:rPr>
                <w:sz w:val="22"/>
                <w:szCs w:val="22"/>
              </w:rPr>
              <w:t xml:space="preserve">also </w:t>
            </w:r>
            <w:r>
              <w:rPr>
                <w:sz w:val="22"/>
                <w:szCs w:val="22"/>
              </w:rPr>
              <w:t xml:space="preserve">successfully achieved the ISO9001 Quality Management System this year.   This clearly demonstrates the </w:t>
            </w:r>
            <w:r w:rsidR="000E7D1B">
              <w:rPr>
                <w:sz w:val="22"/>
                <w:szCs w:val="22"/>
              </w:rPr>
              <w:t>commitment</w:t>
            </w:r>
            <w:r>
              <w:rPr>
                <w:sz w:val="22"/>
                <w:szCs w:val="22"/>
              </w:rPr>
              <w:t xml:space="preserve"> to </w:t>
            </w:r>
            <w:r w:rsidR="00B26134">
              <w:rPr>
                <w:sz w:val="22"/>
                <w:szCs w:val="22"/>
              </w:rPr>
              <w:t>improvement and</w:t>
            </w:r>
            <w:r>
              <w:rPr>
                <w:sz w:val="22"/>
                <w:szCs w:val="22"/>
              </w:rPr>
              <w:t xml:space="preserve"> ensuring that a </w:t>
            </w:r>
            <w:proofErr w:type="gramStart"/>
            <w:r>
              <w:rPr>
                <w:sz w:val="22"/>
                <w:szCs w:val="22"/>
              </w:rPr>
              <w:t>high quality</w:t>
            </w:r>
            <w:proofErr w:type="gramEnd"/>
            <w:r>
              <w:rPr>
                <w:sz w:val="22"/>
                <w:szCs w:val="22"/>
              </w:rPr>
              <w:t xml:space="preserve"> service is provided to both </w:t>
            </w:r>
            <w:r w:rsidR="00DB651A">
              <w:rPr>
                <w:sz w:val="22"/>
                <w:szCs w:val="22"/>
              </w:rPr>
              <w:t>Council</w:t>
            </w:r>
            <w:r>
              <w:rPr>
                <w:sz w:val="22"/>
                <w:szCs w:val="22"/>
              </w:rPr>
              <w:t xml:space="preserve">s.  </w:t>
            </w:r>
          </w:p>
        </w:tc>
      </w:tr>
    </w:tbl>
    <w:p w14:paraId="134539A1" w14:textId="77777777" w:rsidR="00271328" w:rsidRDefault="00271328" w:rsidP="00514D84">
      <w:pPr>
        <w:jc w:val="right"/>
        <w:rPr>
          <w:rFonts w:cs="Arial"/>
          <w:sz w:val="16"/>
          <w:szCs w:val="16"/>
        </w:rPr>
      </w:pPr>
    </w:p>
    <w:p w14:paraId="32BAB8BF" w14:textId="77777777" w:rsidR="00271328" w:rsidRDefault="00271328" w:rsidP="00514D84">
      <w:pPr>
        <w:jc w:val="right"/>
        <w:rPr>
          <w:rFonts w:cs="Arial"/>
          <w:sz w:val="16"/>
          <w:szCs w:val="16"/>
        </w:rPr>
      </w:pPr>
    </w:p>
    <w:tbl>
      <w:tblPr>
        <w:tblStyle w:val="TableGrid"/>
        <w:tblW w:w="10661" w:type="dxa"/>
        <w:tblInd w:w="-1139" w:type="dxa"/>
        <w:tblLook w:val="04A0" w:firstRow="1" w:lastRow="0" w:firstColumn="1" w:lastColumn="0" w:noHBand="0" w:noVBand="1"/>
      </w:tblPr>
      <w:tblGrid>
        <w:gridCol w:w="461"/>
        <w:gridCol w:w="10200"/>
      </w:tblGrid>
      <w:tr w:rsidR="00E16F42" w:rsidRPr="004F596C" w14:paraId="23852998" w14:textId="77777777" w:rsidTr="00A64F19">
        <w:tc>
          <w:tcPr>
            <w:tcW w:w="461" w:type="dxa"/>
            <w:shd w:val="clear" w:color="auto" w:fill="B8CCE4" w:themeFill="accent1" w:themeFillTint="66"/>
          </w:tcPr>
          <w:p w14:paraId="57F8B19E" w14:textId="77777777" w:rsidR="00E16F42" w:rsidRPr="00835CA3" w:rsidRDefault="00E16F42" w:rsidP="00B11059">
            <w:pPr>
              <w:jc w:val="both"/>
              <w:rPr>
                <w:rFonts w:cs="Arial"/>
                <w:sz w:val="22"/>
                <w:szCs w:val="22"/>
              </w:rPr>
            </w:pPr>
          </w:p>
        </w:tc>
        <w:tc>
          <w:tcPr>
            <w:tcW w:w="10200" w:type="dxa"/>
            <w:shd w:val="clear" w:color="auto" w:fill="B8CCE4" w:themeFill="accent1" w:themeFillTint="66"/>
          </w:tcPr>
          <w:p w14:paraId="7AC2F02F" w14:textId="7B76FEE9" w:rsidR="00E16F42" w:rsidRPr="004F596C" w:rsidRDefault="00E16F42" w:rsidP="00B11059">
            <w:pPr>
              <w:rPr>
                <w:b/>
                <w:bCs/>
              </w:rPr>
            </w:pPr>
            <w:r>
              <w:rPr>
                <w:b/>
                <w:bCs/>
              </w:rPr>
              <w:t xml:space="preserve">Internal Audit Performance </w:t>
            </w:r>
          </w:p>
        </w:tc>
      </w:tr>
      <w:tr w:rsidR="00E16F42" w:rsidRPr="00E16F42" w14:paraId="2C4A4989" w14:textId="77777777" w:rsidTr="00B11059">
        <w:tc>
          <w:tcPr>
            <w:tcW w:w="461" w:type="dxa"/>
          </w:tcPr>
          <w:p w14:paraId="7A6C5D77" w14:textId="0FE5EB60" w:rsidR="00E16F42" w:rsidRDefault="00E16F42" w:rsidP="00B11059">
            <w:pPr>
              <w:jc w:val="both"/>
              <w:rPr>
                <w:rFonts w:cs="Arial"/>
                <w:sz w:val="22"/>
                <w:szCs w:val="22"/>
              </w:rPr>
            </w:pPr>
            <w:r>
              <w:rPr>
                <w:rFonts w:cs="Arial"/>
                <w:sz w:val="22"/>
                <w:szCs w:val="22"/>
              </w:rPr>
              <w:t>2</w:t>
            </w:r>
            <w:r w:rsidR="00BF3F33">
              <w:rPr>
                <w:rFonts w:cs="Arial"/>
                <w:sz w:val="22"/>
                <w:szCs w:val="22"/>
              </w:rPr>
              <w:t>8</w:t>
            </w:r>
          </w:p>
          <w:p w14:paraId="46998310" w14:textId="3240C904" w:rsidR="00E16F42" w:rsidRDefault="00E16F42" w:rsidP="00B11059">
            <w:pPr>
              <w:jc w:val="both"/>
              <w:rPr>
                <w:rFonts w:cs="Arial"/>
                <w:sz w:val="22"/>
                <w:szCs w:val="22"/>
              </w:rPr>
            </w:pPr>
          </w:p>
        </w:tc>
        <w:tc>
          <w:tcPr>
            <w:tcW w:w="10200" w:type="dxa"/>
          </w:tcPr>
          <w:p w14:paraId="476ED3F2" w14:textId="77777777" w:rsidR="005F580A" w:rsidRDefault="00B91021" w:rsidP="00773992">
            <w:pPr>
              <w:autoSpaceDE w:val="0"/>
              <w:autoSpaceDN w:val="0"/>
              <w:adjustRightInd w:val="0"/>
              <w:rPr>
                <w:sz w:val="22"/>
                <w:szCs w:val="22"/>
              </w:rPr>
            </w:pPr>
            <w:r w:rsidRPr="00B91021">
              <w:rPr>
                <w:sz w:val="22"/>
                <w:szCs w:val="22"/>
              </w:rPr>
              <w:t xml:space="preserve">The table </w:t>
            </w:r>
            <w:r w:rsidRPr="00773992">
              <w:rPr>
                <w:sz w:val="22"/>
                <w:szCs w:val="22"/>
              </w:rPr>
              <w:t xml:space="preserve">at </w:t>
            </w:r>
            <w:r w:rsidRPr="00773992">
              <w:rPr>
                <w:b/>
                <w:sz w:val="22"/>
                <w:szCs w:val="22"/>
              </w:rPr>
              <w:t>Appendix</w:t>
            </w:r>
            <w:r w:rsidR="0029533E">
              <w:rPr>
                <w:b/>
                <w:sz w:val="22"/>
                <w:szCs w:val="22"/>
              </w:rPr>
              <w:t xml:space="preserve"> C</w:t>
            </w:r>
            <w:r w:rsidRPr="00773992">
              <w:rPr>
                <w:sz w:val="22"/>
                <w:szCs w:val="22"/>
              </w:rPr>
              <w:t xml:space="preserve"> summarises </w:t>
            </w:r>
            <w:r w:rsidRPr="00B91021">
              <w:rPr>
                <w:sz w:val="22"/>
                <w:szCs w:val="22"/>
              </w:rPr>
              <w:t>the key performance data for the Internal Audit Service during 20</w:t>
            </w:r>
            <w:r w:rsidR="005F580A">
              <w:rPr>
                <w:sz w:val="22"/>
                <w:szCs w:val="22"/>
              </w:rPr>
              <w:t>21-2022</w:t>
            </w:r>
            <w:r w:rsidRPr="00B91021">
              <w:rPr>
                <w:sz w:val="22"/>
                <w:szCs w:val="22"/>
              </w:rPr>
              <w:t xml:space="preserve"> and demonstrates that </w:t>
            </w:r>
            <w:proofErr w:type="gramStart"/>
            <w:r w:rsidRPr="00B91021">
              <w:rPr>
                <w:sz w:val="22"/>
                <w:szCs w:val="22"/>
              </w:rPr>
              <w:t>the majority of</w:t>
            </w:r>
            <w:proofErr w:type="gramEnd"/>
            <w:r w:rsidRPr="00B91021">
              <w:rPr>
                <w:sz w:val="22"/>
                <w:szCs w:val="22"/>
              </w:rPr>
              <w:t xml:space="preserve"> performance indicators have either been achieved or exceeded</w:t>
            </w:r>
            <w:r w:rsidR="005F580A">
              <w:rPr>
                <w:sz w:val="22"/>
                <w:szCs w:val="22"/>
              </w:rPr>
              <w:t xml:space="preserve">.   There is only the one indicator, </w:t>
            </w:r>
            <w:bookmarkStart w:id="0" w:name="_Hlk82721524"/>
            <w:r w:rsidR="005F580A" w:rsidRPr="005F580A">
              <w:rPr>
                <w:rFonts w:cs="Arial"/>
                <w:sz w:val="22"/>
                <w:szCs w:val="22"/>
              </w:rPr>
              <w:t>% of agreed actions implemented by management</w:t>
            </w:r>
            <w:r w:rsidR="005F580A">
              <w:rPr>
                <w:rFonts w:cs="Arial"/>
                <w:sz w:val="22"/>
                <w:szCs w:val="22"/>
              </w:rPr>
              <w:t xml:space="preserve">, </w:t>
            </w:r>
            <w:bookmarkEnd w:id="0"/>
            <w:r w:rsidR="005F580A">
              <w:rPr>
                <w:sz w:val="22"/>
                <w:szCs w:val="22"/>
              </w:rPr>
              <w:t xml:space="preserve">which is below target with the explanation provided above. </w:t>
            </w:r>
            <w:r w:rsidRPr="00B91021">
              <w:rPr>
                <w:sz w:val="22"/>
                <w:szCs w:val="22"/>
              </w:rPr>
              <w:t xml:space="preserve"> </w:t>
            </w:r>
          </w:p>
          <w:p w14:paraId="1527A0A3" w14:textId="37A4C6E3" w:rsidR="00A86624" w:rsidRPr="00E16F42" w:rsidRDefault="00A86624" w:rsidP="00773992">
            <w:pPr>
              <w:autoSpaceDE w:val="0"/>
              <w:autoSpaceDN w:val="0"/>
              <w:adjustRightInd w:val="0"/>
              <w:rPr>
                <w:sz w:val="22"/>
                <w:szCs w:val="22"/>
              </w:rPr>
            </w:pPr>
          </w:p>
        </w:tc>
      </w:tr>
    </w:tbl>
    <w:p w14:paraId="3E738E4E" w14:textId="77777777" w:rsidR="00271328" w:rsidRDefault="00271328" w:rsidP="00514D84">
      <w:pPr>
        <w:jc w:val="right"/>
        <w:rPr>
          <w:rFonts w:cs="Arial"/>
          <w:sz w:val="16"/>
          <w:szCs w:val="16"/>
        </w:rPr>
      </w:pPr>
    </w:p>
    <w:p w14:paraId="16CFF379" w14:textId="77777777" w:rsidR="00271328" w:rsidRDefault="00271328" w:rsidP="00514D84">
      <w:pPr>
        <w:jc w:val="right"/>
        <w:rPr>
          <w:rFonts w:cs="Arial"/>
          <w:sz w:val="16"/>
          <w:szCs w:val="16"/>
        </w:rPr>
      </w:pPr>
    </w:p>
    <w:p w14:paraId="39E255B7" w14:textId="46772032" w:rsidR="00F8135F" w:rsidRDefault="00F8135F" w:rsidP="00514D84">
      <w:pPr>
        <w:tabs>
          <w:tab w:val="left" w:pos="2265"/>
        </w:tabs>
      </w:pPr>
    </w:p>
    <w:p w14:paraId="4BD696C8" w14:textId="77777777" w:rsidR="00AC0970" w:rsidRDefault="00AC0970"/>
    <w:p w14:paraId="02634F27" w14:textId="77777777" w:rsidR="00AC0970" w:rsidRPr="00931111" w:rsidRDefault="00AC0970">
      <w:bookmarkStart w:id="1" w:name="_GoBack"/>
      <w:bookmarkEnd w:id="1"/>
    </w:p>
    <w:sectPr w:rsidR="00AC0970" w:rsidRPr="00931111" w:rsidSect="00773992">
      <w:headerReference w:type="default" r:id="rId12"/>
      <w:pgSz w:w="11907" w:h="16839" w:code="9"/>
      <w:pgMar w:top="821" w:right="1797" w:bottom="1276"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3E47" w14:textId="77777777" w:rsidR="00B11059" w:rsidRDefault="00B11059">
      <w:r>
        <w:separator/>
      </w:r>
    </w:p>
  </w:endnote>
  <w:endnote w:type="continuationSeparator" w:id="0">
    <w:p w14:paraId="3F260E5C" w14:textId="77777777" w:rsidR="00B11059" w:rsidRDefault="00B1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AF98" w14:textId="77777777" w:rsidR="00B11059" w:rsidRDefault="00B11059" w:rsidP="00514D84">
    <w:pPr>
      <w:pStyle w:val="Footer"/>
      <w:framePr w:wrap="auto" w:vAnchor="text" w:hAnchor="margin" w:xAlign="center" w:y="1"/>
      <w:ind w:right="-4968" w:hanging="142"/>
      <w:rPr>
        <w:rStyle w:val="PageNumber"/>
      </w:rPr>
    </w:pPr>
  </w:p>
  <w:p w14:paraId="23F90647" w14:textId="7073E63B" w:rsidR="00B11059" w:rsidRPr="00514D84" w:rsidRDefault="00B11059" w:rsidP="004678F9">
    <w:pPr>
      <w:ind w:left="-851" w:right="329"/>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EF117" w14:textId="77777777" w:rsidR="00B11059" w:rsidRDefault="00B11059">
      <w:r>
        <w:separator/>
      </w:r>
    </w:p>
  </w:footnote>
  <w:footnote w:type="continuationSeparator" w:id="0">
    <w:p w14:paraId="3E286D6E" w14:textId="77777777" w:rsidR="00B11059" w:rsidRDefault="00B1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8EC8" w14:textId="58C9FB0C" w:rsidR="00B11059" w:rsidRPr="00FF0CF7" w:rsidRDefault="00B11059" w:rsidP="000E3756">
    <w:pPr>
      <w:rPr>
        <w:rFonts w:cs="Arial"/>
        <w:b/>
        <w:szCs w:val="24"/>
      </w:rPr>
    </w:pPr>
    <w:r>
      <w:rPr>
        <w:rFonts w:cs="Arial"/>
        <w:b/>
        <w:szCs w:val="24"/>
      </w:rPr>
      <w:t xml:space="preserve">                                  </w:t>
    </w:r>
  </w:p>
  <w:p w14:paraId="011C7563" w14:textId="77777777" w:rsidR="00B11059" w:rsidRDefault="00B11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6"/>
      <w:lvlText w:val=""/>
      <w:legacy w:legacy="1" w:legacySpace="120" w:legacyIndent="360"/>
      <w:lvlJc w:val="left"/>
      <w:pPr>
        <w:ind w:left="360" w:hanging="360"/>
      </w:pPr>
      <w:rPr>
        <w:rFonts w:ascii="Symbol" w:hAnsi="Symbol"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1640F3"/>
    <w:multiLevelType w:val="hybridMultilevel"/>
    <w:tmpl w:val="DA02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84C0C"/>
    <w:multiLevelType w:val="hybridMultilevel"/>
    <w:tmpl w:val="7A60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56537"/>
    <w:multiLevelType w:val="hybridMultilevel"/>
    <w:tmpl w:val="0E9CBF3A"/>
    <w:lvl w:ilvl="0" w:tplc="E30E20F8">
      <w:start w:val="19"/>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D0870"/>
    <w:multiLevelType w:val="hybridMultilevel"/>
    <w:tmpl w:val="BBC4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F4A2D"/>
    <w:multiLevelType w:val="hybridMultilevel"/>
    <w:tmpl w:val="AAA2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E5CBD"/>
    <w:multiLevelType w:val="hybridMultilevel"/>
    <w:tmpl w:val="EEE0B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4647F3"/>
    <w:multiLevelType w:val="hybridMultilevel"/>
    <w:tmpl w:val="FADA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16587"/>
    <w:multiLevelType w:val="hybridMultilevel"/>
    <w:tmpl w:val="0F9AC9AE"/>
    <w:lvl w:ilvl="0" w:tplc="80D4AC9C">
      <w:start w:val="13"/>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47B25"/>
    <w:multiLevelType w:val="hybridMultilevel"/>
    <w:tmpl w:val="29C0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C567B3"/>
    <w:multiLevelType w:val="hybridMultilevel"/>
    <w:tmpl w:val="F7AC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11881"/>
    <w:multiLevelType w:val="hybridMultilevel"/>
    <w:tmpl w:val="A28C4FC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67520373"/>
    <w:multiLevelType w:val="hybridMultilevel"/>
    <w:tmpl w:val="1EF4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A0ED7"/>
    <w:multiLevelType w:val="hybridMultilevel"/>
    <w:tmpl w:val="FD5A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3"/>
  </w:num>
  <w:num w:numId="5">
    <w:abstractNumId w:val="4"/>
  </w:num>
  <w:num w:numId="6">
    <w:abstractNumId w:val="12"/>
  </w:num>
  <w:num w:numId="7">
    <w:abstractNumId w:val="5"/>
  </w:num>
  <w:num w:numId="8">
    <w:abstractNumId w:val="10"/>
  </w:num>
  <w:num w:numId="9">
    <w:abstractNumId w:val="1"/>
  </w:num>
  <w:num w:numId="10">
    <w:abstractNumId w:val="7"/>
  </w:num>
  <w:num w:numId="11">
    <w:abstractNumId w:val="2"/>
  </w:num>
  <w:num w:numId="12">
    <w:abstractNumId w:val="8"/>
  </w:num>
  <w:num w:numId="13">
    <w:abstractNumId w:val="9"/>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C4"/>
    <w:rsid w:val="00000D5B"/>
    <w:rsid w:val="00004448"/>
    <w:rsid w:val="0000767A"/>
    <w:rsid w:val="000120F9"/>
    <w:rsid w:val="00012CCC"/>
    <w:rsid w:val="00016E69"/>
    <w:rsid w:val="00021895"/>
    <w:rsid w:val="00022E86"/>
    <w:rsid w:val="00026919"/>
    <w:rsid w:val="00026AA5"/>
    <w:rsid w:val="00027133"/>
    <w:rsid w:val="00027FFA"/>
    <w:rsid w:val="00032CAC"/>
    <w:rsid w:val="00041BFA"/>
    <w:rsid w:val="00042CD6"/>
    <w:rsid w:val="00043702"/>
    <w:rsid w:val="00044279"/>
    <w:rsid w:val="0004667F"/>
    <w:rsid w:val="0004700C"/>
    <w:rsid w:val="00047F4E"/>
    <w:rsid w:val="00051E7B"/>
    <w:rsid w:val="0005223A"/>
    <w:rsid w:val="000525AB"/>
    <w:rsid w:val="000535C6"/>
    <w:rsid w:val="00057573"/>
    <w:rsid w:val="00057C5E"/>
    <w:rsid w:val="00060B67"/>
    <w:rsid w:val="00061ED4"/>
    <w:rsid w:val="00062178"/>
    <w:rsid w:val="00064FE9"/>
    <w:rsid w:val="0006503D"/>
    <w:rsid w:val="00065BBA"/>
    <w:rsid w:val="00066C44"/>
    <w:rsid w:val="0007290F"/>
    <w:rsid w:val="00073CE1"/>
    <w:rsid w:val="0007632B"/>
    <w:rsid w:val="00081B1D"/>
    <w:rsid w:val="0008251C"/>
    <w:rsid w:val="00082930"/>
    <w:rsid w:val="000840CD"/>
    <w:rsid w:val="00085EA4"/>
    <w:rsid w:val="00086E22"/>
    <w:rsid w:val="00087D3D"/>
    <w:rsid w:val="00090001"/>
    <w:rsid w:val="000A08F4"/>
    <w:rsid w:val="000A67FE"/>
    <w:rsid w:val="000A6CCC"/>
    <w:rsid w:val="000B278B"/>
    <w:rsid w:val="000B6021"/>
    <w:rsid w:val="000C33E8"/>
    <w:rsid w:val="000C432D"/>
    <w:rsid w:val="000C5052"/>
    <w:rsid w:val="000C525B"/>
    <w:rsid w:val="000C67B4"/>
    <w:rsid w:val="000C7F53"/>
    <w:rsid w:val="000D2AE1"/>
    <w:rsid w:val="000D5A0B"/>
    <w:rsid w:val="000D6A6C"/>
    <w:rsid w:val="000E0ACA"/>
    <w:rsid w:val="000E14CA"/>
    <w:rsid w:val="000E3756"/>
    <w:rsid w:val="000E7D1B"/>
    <w:rsid w:val="001003E3"/>
    <w:rsid w:val="00102C22"/>
    <w:rsid w:val="001030AE"/>
    <w:rsid w:val="001038BD"/>
    <w:rsid w:val="0010443D"/>
    <w:rsid w:val="00114A02"/>
    <w:rsid w:val="0012094F"/>
    <w:rsid w:val="00120A04"/>
    <w:rsid w:val="00124F60"/>
    <w:rsid w:val="0012562A"/>
    <w:rsid w:val="00126D7E"/>
    <w:rsid w:val="0012758B"/>
    <w:rsid w:val="00132D7C"/>
    <w:rsid w:val="00135E5E"/>
    <w:rsid w:val="00136CF7"/>
    <w:rsid w:val="0014052E"/>
    <w:rsid w:val="00140A69"/>
    <w:rsid w:val="001433E8"/>
    <w:rsid w:val="00145A2A"/>
    <w:rsid w:val="00147287"/>
    <w:rsid w:val="00157467"/>
    <w:rsid w:val="00157CC9"/>
    <w:rsid w:val="00162301"/>
    <w:rsid w:val="00163193"/>
    <w:rsid w:val="0016363B"/>
    <w:rsid w:val="001657D0"/>
    <w:rsid w:val="00167D00"/>
    <w:rsid w:val="00171370"/>
    <w:rsid w:val="00175BE5"/>
    <w:rsid w:val="00176777"/>
    <w:rsid w:val="001812D6"/>
    <w:rsid w:val="00182B0D"/>
    <w:rsid w:val="00183F69"/>
    <w:rsid w:val="001850A6"/>
    <w:rsid w:val="001853D1"/>
    <w:rsid w:val="00193274"/>
    <w:rsid w:val="00193DE9"/>
    <w:rsid w:val="00194B7F"/>
    <w:rsid w:val="001A1FC1"/>
    <w:rsid w:val="001A2648"/>
    <w:rsid w:val="001A2FE3"/>
    <w:rsid w:val="001A3F26"/>
    <w:rsid w:val="001A6509"/>
    <w:rsid w:val="001A7B8F"/>
    <w:rsid w:val="001B0326"/>
    <w:rsid w:val="001B38A6"/>
    <w:rsid w:val="001B3A82"/>
    <w:rsid w:val="001B43BA"/>
    <w:rsid w:val="001B6B24"/>
    <w:rsid w:val="001C12D6"/>
    <w:rsid w:val="001C3467"/>
    <w:rsid w:val="001C5F1C"/>
    <w:rsid w:val="001C64E0"/>
    <w:rsid w:val="001C6AD8"/>
    <w:rsid w:val="001D0989"/>
    <w:rsid w:val="001D1326"/>
    <w:rsid w:val="001D267F"/>
    <w:rsid w:val="001D6026"/>
    <w:rsid w:val="001E407F"/>
    <w:rsid w:val="001F1B8A"/>
    <w:rsid w:val="001F20F2"/>
    <w:rsid w:val="001F5338"/>
    <w:rsid w:val="001F7A08"/>
    <w:rsid w:val="001F7ED2"/>
    <w:rsid w:val="002000D5"/>
    <w:rsid w:val="002063CF"/>
    <w:rsid w:val="00211BDC"/>
    <w:rsid w:val="00211DEE"/>
    <w:rsid w:val="002329D4"/>
    <w:rsid w:val="00233B5E"/>
    <w:rsid w:val="002361E9"/>
    <w:rsid w:val="002366E7"/>
    <w:rsid w:val="002371E5"/>
    <w:rsid w:val="00240FF0"/>
    <w:rsid w:val="00242463"/>
    <w:rsid w:val="002427DB"/>
    <w:rsid w:val="00243A2B"/>
    <w:rsid w:val="002441F0"/>
    <w:rsid w:val="00245C1F"/>
    <w:rsid w:val="00246784"/>
    <w:rsid w:val="00251129"/>
    <w:rsid w:val="00252A5D"/>
    <w:rsid w:val="002616EB"/>
    <w:rsid w:val="00262874"/>
    <w:rsid w:val="00263468"/>
    <w:rsid w:val="0026385D"/>
    <w:rsid w:val="0026441B"/>
    <w:rsid w:val="002652DD"/>
    <w:rsid w:val="002653B1"/>
    <w:rsid w:val="00265C8A"/>
    <w:rsid w:val="00266C04"/>
    <w:rsid w:val="00267CFF"/>
    <w:rsid w:val="00271328"/>
    <w:rsid w:val="00277458"/>
    <w:rsid w:val="00277C46"/>
    <w:rsid w:val="002806B0"/>
    <w:rsid w:val="00283307"/>
    <w:rsid w:val="00284524"/>
    <w:rsid w:val="00284876"/>
    <w:rsid w:val="0028574A"/>
    <w:rsid w:val="00291519"/>
    <w:rsid w:val="002920B3"/>
    <w:rsid w:val="0029533E"/>
    <w:rsid w:val="002A1462"/>
    <w:rsid w:val="002A22A0"/>
    <w:rsid w:val="002A547C"/>
    <w:rsid w:val="002A690F"/>
    <w:rsid w:val="002B0E69"/>
    <w:rsid w:val="002B137D"/>
    <w:rsid w:val="002B1538"/>
    <w:rsid w:val="002B20D0"/>
    <w:rsid w:val="002C533B"/>
    <w:rsid w:val="002D3748"/>
    <w:rsid w:val="002D465A"/>
    <w:rsid w:val="002D46EA"/>
    <w:rsid w:val="002D4B34"/>
    <w:rsid w:val="002D739B"/>
    <w:rsid w:val="002E0775"/>
    <w:rsid w:val="002E1409"/>
    <w:rsid w:val="002E1882"/>
    <w:rsid w:val="002E2A63"/>
    <w:rsid w:val="002E3AE7"/>
    <w:rsid w:val="002E4C5E"/>
    <w:rsid w:val="002E78D5"/>
    <w:rsid w:val="002F0595"/>
    <w:rsid w:val="002F3663"/>
    <w:rsid w:val="002F3D24"/>
    <w:rsid w:val="002F5153"/>
    <w:rsid w:val="0031252E"/>
    <w:rsid w:val="00312D8B"/>
    <w:rsid w:val="0031741C"/>
    <w:rsid w:val="00320B72"/>
    <w:rsid w:val="0032137B"/>
    <w:rsid w:val="00326533"/>
    <w:rsid w:val="00332205"/>
    <w:rsid w:val="003357D8"/>
    <w:rsid w:val="00335B2B"/>
    <w:rsid w:val="00340F87"/>
    <w:rsid w:val="00344054"/>
    <w:rsid w:val="0034649A"/>
    <w:rsid w:val="00346D15"/>
    <w:rsid w:val="003476D5"/>
    <w:rsid w:val="00347B87"/>
    <w:rsid w:val="00350604"/>
    <w:rsid w:val="00351E07"/>
    <w:rsid w:val="003523DD"/>
    <w:rsid w:val="0035242A"/>
    <w:rsid w:val="00352CFC"/>
    <w:rsid w:val="00353168"/>
    <w:rsid w:val="003561DE"/>
    <w:rsid w:val="003658A0"/>
    <w:rsid w:val="00366A5B"/>
    <w:rsid w:val="00366CD4"/>
    <w:rsid w:val="00366D2D"/>
    <w:rsid w:val="00372520"/>
    <w:rsid w:val="00372EED"/>
    <w:rsid w:val="00375F83"/>
    <w:rsid w:val="00376726"/>
    <w:rsid w:val="00380A85"/>
    <w:rsid w:val="0038282A"/>
    <w:rsid w:val="0038524D"/>
    <w:rsid w:val="003854AF"/>
    <w:rsid w:val="003872FF"/>
    <w:rsid w:val="003918D7"/>
    <w:rsid w:val="003944FC"/>
    <w:rsid w:val="00395370"/>
    <w:rsid w:val="00395E98"/>
    <w:rsid w:val="003A1911"/>
    <w:rsid w:val="003A7D50"/>
    <w:rsid w:val="003B06C5"/>
    <w:rsid w:val="003B0B37"/>
    <w:rsid w:val="003B1BC4"/>
    <w:rsid w:val="003B2F1C"/>
    <w:rsid w:val="003B4008"/>
    <w:rsid w:val="003B5F0E"/>
    <w:rsid w:val="003B7D3C"/>
    <w:rsid w:val="003C3ABA"/>
    <w:rsid w:val="003C463B"/>
    <w:rsid w:val="003C67D3"/>
    <w:rsid w:val="003C6B46"/>
    <w:rsid w:val="003C6EAF"/>
    <w:rsid w:val="003D120E"/>
    <w:rsid w:val="003D4E08"/>
    <w:rsid w:val="003D5432"/>
    <w:rsid w:val="003D74A0"/>
    <w:rsid w:val="003D76C5"/>
    <w:rsid w:val="003E23FD"/>
    <w:rsid w:val="003E59DE"/>
    <w:rsid w:val="003E73A6"/>
    <w:rsid w:val="003F1300"/>
    <w:rsid w:val="003F2141"/>
    <w:rsid w:val="003F4AAF"/>
    <w:rsid w:val="004002A7"/>
    <w:rsid w:val="004012F2"/>
    <w:rsid w:val="00401784"/>
    <w:rsid w:val="00413C65"/>
    <w:rsid w:val="0041499A"/>
    <w:rsid w:val="00415905"/>
    <w:rsid w:val="00417B09"/>
    <w:rsid w:val="00422656"/>
    <w:rsid w:val="00425DE0"/>
    <w:rsid w:val="00427B6B"/>
    <w:rsid w:val="00427FD8"/>
    <w:rsid w:val="00440C8E"/>
    <w:rsid w:val="00442424"/>
    <w:rsid w:val="0044352D"/>
    <w:rsid w:val="004449C1"/>
    <w:rsid w:val="00444AC3"/>
    <w:rsid w:val="00446FAE"/>
    <w:rsid w:val="004552C2"/>
    <w:rsid w:val="00456385"/>
    <w:rsid w:val="0046594B"/>
    <w:rsid w:val="004661A8"/>
    <w:rsid w:val="004678F9"/>
    <w:rsid w:val="0047097F"/>
    <w:rsid w:val="00476290"/>
    <w:rsid w:val="004778AF"/>
    <w:rsid w:val="0048320E"/>
    <w:rsid w:val="004840D7"/>
    <w:rsid w:val="004879B0"/>
    <w:rsid w:val="004915D5"/>
    <w:rsid w:val="00496A11"/>
    <w:rsid w:val="004A02D3"/>
    <w:rsid w:val="004A2123"/>
    <w:rsid w:val="004B6C77"/>
    <w:rsid w:val="004C1816"/>
    <w:rsid w:val="004C21B5"/>
    <w:rsid w:val="004C5AF2"/>
    <w:rsid w:val="004C6BA8"/>
    <w:rsid w:val="004C7C27"/>
    <w:rsid w:val="004D22B5"/>
    <w:rsid w:val="004D30A7"/>
    <w:rsid w:val="004D5E77"/>
    <w:rsid w:val="004D6CD4"/>
    <w:rsid w:val="004D754D"/>
    <w:rsid w:val="004E0C12"/>
    <w:rsid w:val="004E2051"/>
    <w:rsid w:val="004E2AAF"/>
    <w:rsid w:val="004E39DE"/>
    <w:rsid w:val="004E5026"/>
    <w:rsid w:val="004F2F56"/>
    <w:rsid w:val="004F596C"/>
    <w:rsid w:val="00501990"/>
    <w:rsid w:val="00503EB2"/>
    <w:rsid w:val="00505225"/>
    <w:rsid w:val="00505979"/>
    <w:rsid w:val="00510E4F"/>
    <w:rsid w:val="00512D6F"/>
    <w:rsid w:val="00514D84"/>
    <w:rsid w:val="00517C01"/>
    <w:rsid w:val="00521821"/>
    <w:rsid w:val="0052571D"/>
    <w:rsid w:val="00527E71"/>
    <w:rsid w:val="00530E10"/>
    <w:rsid w:val="005356C5"/>
    <w:rsid w:val="00541BC0"/>
    <w:rsid w:val="00541E99"/>
    <w:rsid w:val="0054289F"/>
    <w:rsid w:val="00542CD5"/>
    <w:rsid w:val="00544C6E"/>
    <w:rsid w:val="00546B79"/>
    <w:rsid w:val="005471A8"/>
    <w:rsid w:val="00547C8D"/>
    <w:rsid w:val="0055040B"/>
    <w:rsid w:val="0055107C"/>
    <w:rsid w:val="00551DDD"/>
    <w:rsid w:val="00554ABB"/>
    <w:rsid w:val="00555586"/>
    <w:rsid w:val="005608C5"/>
    <w:rsid w:val="00560CF5"/>
    <w:rsid w:val="005645B1"/>
    <w:rsid w:val="00564959"/>
    <w:rsid w:val="00573D61"/>
    <w:rsid w:val="00586193"/>
    <w:rsid w:val="00590C0D"/>
    <w:rsid w:val="0059255B"/>
    <w:rsid w:val="00597A53"/>
    <w:rsid w:val="005A4299"/>
    <w:rsid w:val="005A5D55"/>
    <w:rsid w:val="005B0F8C"/>
    <w:rsid w:val="005B2C48"/>
    <w:rsid w:val="005C48A4"/>
    <w:rsid w:val="005C4C21"/>
    <w:rsid w:val="005C57FD"/>
    <w:rsid w:val="005C5D1F"/>
    <w:rsid w:val="005C7FAC"/>
    <w:rsid w:val="005D130A"/>
    <w:rsid w:val="005D42C0"/>
    <w:rsid w:val="005D58A0"/>
    <w:rsid w:val="005D6167"/>
    <w:rsid w:val="005E4A71"/>
    <w:rsid w:val="005E5873"/>
    <w:rsid w:val="005E7DE5"/>
    <w:rsid w:val="005F18F3"/>
    <w:rsid w:val="005F31A3"/>
    <w:rsid w:val="005F4D75"/>
    <w:rsid w:val="005F52B9"/>
    <w:rsid w:val="005F580A"/>
    <w:rsid w:val="005F6591"/>
    <w:rsid w:val="00600A13"/>
    <w:rsid w:val="00603B52"/>
    <w:rsid w:val="00603DE6"/>
    <w:rsid w:val="00604963"/>
    <w:rsid w:val="00605B3B"/>
    <w:rsid w:val="00605DE3"/>
    <w:rsid w:val="00610DAE"/>
    <w:rsid w:val="00611338"/>
    <w:rsid w:val="006132F0"/>
    <w:rsid w:val="00620514"/>
    <w:rsid w:val="00621708"/>
    <w:rsid w:val="00622FFE"/>
    <w:rsid w:val="00623342"/>
    <w:rsid w:val="00626B07"/>
    <w:rsid w:val="00627AE1"/>
    <w:rsid w:val="00637B08"/>
    <w:rsid w:val="006415FF"/>
    <w:rsid w:val="00641772"/>
    <w:rsid w:val="0064287C"/>
    <w:rsid w:val="00642EE8"/>
    <w:rsid w:val="00644323"/>
    <w:rsid w:val="00645A12"/>
    <w:rsid w:val="006465EC"/>
    <w:rsid w:val="0065030E"/>
    <w:rsid w:val="00650ACC"/>
    <w:rsid w:val="006547AA"/>
    <w:rsid w:val="006605B2"/>
    <w:rsid w:val="00662A99"/>
    <w:rsid w:val="00665386"/>
    <w:rsid w:val="006712C5"/>
    <w:rsid w:val="00677F05"/>
    <w:rsid w:val="0068134D"/>
    <w:rsid w:val="0068299B"/>
    <w:rsid w:val="00684890"/>
    <w:rsid w:val="00685E1B"/>
    <w:rsid w:val="006872C4"/>
    <w:rsid w:val="0069058F"/>
    <w:rsid w:val="00690C36"/>
    <w:rsid w:val="0069344F"/>
    <w:rsid w:val="00694699"/>
    <w:rsid w:val="00694C18"/>
    <w:rsid w:val="00696898"/>
    <w:rsid w:val="0069780B"/>
    <w:rsid w:val="00697BF0"/>
    <w:rsid w:val="006A0933"/>
    <w:rsid w:val="006A3836"/>
    <w:rsid w:val="006A3F85"/>
    <w:rsid w:val="006A6761"/>
    <w:rsid w:val="006A7FC4"/>
    <w:rsid w:val="006B2AB0"/>
    <w:rsid w:val="006B755D"/>
    <w:rsid w:val="006C18FF"/>
    <w:rsid w:val="006C485D"/>
    <w:rsid w:val="006D29B0"/>
    <w:rsid w:val="006D53BF"/>
    <w:rsid w:val="006E1047"/>
    <w:rsid w:val="006E2051"/>
    <w:rsid w:val="006E29B4"/>
    <w:rsid w:val="006E50C3"/>
    <w:rsid w:val="006E6D44"/>
    <w:rsid w:val="006F370C"/>
    <w:rsid w:val="006F48A7"/>
    <w:rsid w:val="006F4FF9"/>
    <w:rsid w:val="006F5EAB"/>
    <w:rsid w:val="00703811"/>
    <w:rsid w:val="00703EB6"/>
    <w:rsid w:val="00704BDB"/>
    <w:rsid w:val="00704C16"/>
    <w:rsid w:val="00707186"/>
    <w:rsid w:val="007074D5"/>
    <w:rsid w:val="0071075A"/>
    <w:rsid w:val="00710BDE"/>
    <w:rsid w:val="00710BE6"/>
    <w:rsid w:val="00713FCB"/>
    <w:rsid w:val="007200FF"/>
    <w:rsid w:val="00720AA0"/>
    <w:rsid w:val="00721B9F"/>
    <w:rsid w:val="007241C3"/>
    <w:rsid w:val="007303FB"/>
    <w:rsid w:val="007321BE"/>
    <w:rsid w:val="007321F4"/>
    <w:rsid w:val="0073341E"/>
    <w:rsid w:val="00734230"/>
    <w:rsid w:val="00737B5E"/>
    <w:rsid w:val="00740092"/>
    <w:rsid w:val="00743EF3"/>
    <w:rsid w:val="007477BE"/>
    <w:rsid w:val="00750559"/>
    <w:rsid w:val="00761639"/>
    <w:rsid w:val="0076200A"/>
    <w:rsid w:val="00764840"/>
    <w:rsid w:val="00764E8F"/>
    <w:rsid w:val="0076573F"/>
    <w:rsid w:val="007657E2"/>
    <w:rsid w:val="0076746C"/>
    <w:rsid w:val="00767E90"/>
    <w:rsid w:val="0077001F"/>
    <w:rsid w:val="0077169E"/>
    <w:rsid w:val="007730F0"/>
    <w:rsid w:val="00773992"/>
    <w:rsid w:val="00775D1F"/>
    <w:rsid w:val="00775D46"/>
    <w:rsid w:val="00781D8C"/>
    <w:rsid w:val="00781F37"/>
    <w:rsid w:val="00785179"/>
    <w:rsid w:val="007851BC"/>
    <w:rsid w:val="0078564F"/>
    <w:rsid w:val="00797066"/>
    <w:rsid w:val="007A0CF5"/>
    <w:rsid w:val="007A16C3"/>
    <w:rsid w:val="007A20DF"/>
    <w:rsid w:val="007A4A4D"/>
    <w:rsid w:val="007A52C1"/>
    <w:rsid w:val="007B044F"/>
    <w:rsid w:val="007B1EC3"/>
    <w:rsid w:val="007B28FD"/>
    <w:rsid w:val="007C38C0"/>
    <w:rsid w:val="007C708E"/>
    <w:rsid w:val="007C7520"/>
    <w:rsid w:val="007D0713"/>
    <w:rsid w:val="007D0A9A"/>
    <w:rsid w:val="007D3A1B"/>
    <w:rsid w:val="007D522F"/>
    <w:rsid w:val="007E1175"/>
    <w:rsid w:val="007E60C6"/>
    <w:rsid w:val="007E7B8C"/>
    <w:rsid w:val="007F17DD"/>
    <w:rsid w:val="007F2489"/>
    <w:rsid w:val="007F2874"/>
    <w:rsid w:val="007F35E6"/>
    <w:rsid w:val="0080024E"/>
    <w:rsid w:val="00802493"/>
    <w:rsid w:val="008030E0"/>
    <w:rsid w:val="00803607"/>
    <w:rsid w:val="00803B7F"/>
    <w:rsid w:val="00807A01"/>
    <w:rsid w:val="008121EE"/>
    <w:rsid w:val="00812259"/>
    <w:rsid w:val="00815A2D"/>
    <w:rsid w:val="008165DC"/>
    <w:rsid w:val="00816707"/>
    <w:rsid w:val="00816CFF"/>
    <w:rsid w:val="00817DE1"/>
    <w:rsid w:val="00821DBA"/>
    <w:rsid w:val="00822D46"/>
    <w:rsid w:val="0082301E"/>
    <w:rsid w:val="00823D36"/>
    <w:rsid w:val="008273E7"/>
    <w:rsid w:val="00830FB5"/>
    <w:rsid w:val="0083132D"/>
    <w:rsid w:val="00832B0B"/>
    <w:rsid w:val="00834CC5"/>
    <w:rsid w:val="00835CA3"/>
    <w:rsid w:val="00837E82"/>
    <w:rsid w:val="00841344"/>
    <w:rsid w:val="00845511"/>
    <w:rsid w:val="00847562"/>
    <w:rsid w:val="00853EBA"/>
    <w:rsid w:val="008547A4"/>
    <w:rsid w:val="008577EB"/>
    <w:rsid w:val="008579E1"/>
    <w:rsid w:val="00857F11"/>
    <w:rsid w:val="0086035A"/>
    <w:rsid w:val="00860C56"/>
    <w:rsid w:val="00860ED1"/>
    <w:rsid w:val="00862653"/>
    <w:rsid w:val="008628E6"/>
    <w:rsid w:val="008631A0"/>
    <w:rsid w:val="008655B9"/>
    <w:rsid w:val="00866364"/>
    <w:rsid w:val="008709A1"/>
    <w:rsid w:val="008711FF"/>
    <w:rsid w:val="008721B1"/>
    <w:rsid w:val="00873707"/>
    <w:rsid w:val="00875BD2"/>
    <w:rsid w:val="00876D55"/>
    <w:rsid w:val="00877DD8"/>
    <w:rsid w:val="00891550"/>
    <w:rsid w:val="008974B1"/>
    <w:rsid w:val="00897AAC"/>
    <w:rsid w:val="008A0886"/>
    <w:rsid w:val="008A0A8A"/>
    <w:rsid w:val="008A139A"/>
    <w:rsid w:val="008A2A33"/>
    <w:rsid w:val="008A5915"/>
    <w:rsid w:val="008A61ED"/>
    <w:rsid w:val="008B17C2"/>
    <w:rsid w:val="008B2D19"/>
    <w:rsid w:val="008B5DE9"/>
    <w:rsid w:val="008B7AF6"/>
    <w:rsid w:val="008B7D9D"/>
    <w:rsid w:val="008C039C"/>
    <w:rsid w:val="008C368E"/>
    <w:rsid w:val="008C46E8"/>
    <w:rsid w:val="008C58F0"/>
    <w:rsid w:val="008C6C29"/>
    <w:rsid w:val="008D0F20"/>
    <w:rsid w:val="008D4C24"/>
    <w:rsid w:val="008D5E85"/>
    <w:rsid w:val="008D60CD"/>
    <w:rsid w:val="008D6166"/>
    <w:rsid w:val="008E1BC7"/>
    <w:rsid w:val="008E28C7"/>
    <w:rsid w:val="008E3932"/>
    <w:rsid w:val="008E3E06"/>
    <w:rsid w:val="008E60E3"/>
    <w:rsid w:val="008E657C"/>
    <w:rsid w:val="008E6D2F"/>
    <w:rsid w:val="008F077A"/>
    <w:rsid w:val="008F50F0"/>
    <w:rsid w:val="008F6115"/>
    <w:rsid w:val="008F713F"/>
    <w:rsid w:val="009016F6"/>
    <w:rsid w:val="0090195B"/>
    <w:rsid w:val="00906FD5"/>
    <w:rsid w:val="0090717B"/>
    <w:rsid w:val="00907375"/>
    <w:rsid w:val="00907507"/>
    <w:rsid w:val="009119EE"/>
    <w:rsid w:val="009124FC"/>
    <w:rsid w:val="0091509D"/>
    <w:rsid w:val="009242F6"/>
    <w:rsid w:val="00925BBF"/>
    <w:rsid w:val="00931111"/>
    <w:rsid w:val="00932F67"/>
    <w:rsid w:val="009331A9"/>
    <w:rsid w:val="00934627"/>
    <w:rsid w:val="00935FED"/>
    <w:rsid w:val="00937E3E"/>
    <w:rsid w:val="00940D23"/>
    <w:rsid w:val="00952351"/>
    <w:rsid w:val="009531A8"/>
    <w:rsid w:val="009543A8"/>
    <w:rsid w:val="009549F4"/>
    <w:rsid w:val="00960A7C"/>
    <w:rsid w:val="00963168"/>
    <w:rsid w:val="00963D8A"/>
    <w:rsid w:val="0096744F"/>
    <w:rsid w:val="009678AF"/>
    <w:rsid w:val="009710AA"/>
    <w:rsid w:val="00971F39"/>
    <w:rsid w:val="0097206C"/>
    <w:rsid w:val="009724E4"/>
    <w:rsid w:val="00974ADB"/>
    <w:rsid w:val="00976872"/>
    <w:rsid w:val="009814FD"/>
    <w:rsid w:val="009859B3"/>
    <w:rsid w:val="009862C2"/>
    <w:rsid w:val="00991B8E"/>
    <w:rsid w:val="009934B5"/>
    <w:rsid w:val="009A0AB7"/>
    <w:rsid w:val="009A3212"/>
    <w:rsid w:val="009A3F4B"/>
    <w:rsid w:val="009B184F"/>
    <w:rsid w:val="009B1BC1"/>
    <w:rsid w:val="009B332D"/>
    <w:rsid w:val="009B35ED"/>
    <w:rsid w:val="009B3642"/>
    <w:rsid w:val="009B79BA"/>
    <w:rsid w:val="009C0D56"/>
    <w:rsid w:val="009C6049"/>
    <w:rsid w:val="009C72CA"/>
    <w:rsid w:val="009D158D"/>
    <w:rsid w:val="009D3376"/>
    <w:rsid w:val="009D3E84"/>
    <w:rsid w:val="009D4869"/>
    <w:rsid w:val="009D5687"/>
    <w:rsid w:val="009D7395"/>
    <w:rsid w:val="009E0F8D"/>
    <w:rsid w:val="009E1519"/>
    <w:rsid w:val="009E47A3"/>
    <w:rsid w:val="009E4F25"/>
    <w:rsid w:val="009E54F6"/>
    <w:rsid w:val="009F080C"/>
    <w:rsid w:val="009F36A1"/>
    <w:rsid w:val="009F4B31"/>
    <w:rsid w:val="009F554E"/>
    <w:rsid w:val="009F5C68"/>
    <w:rsid w:val="009F738E"/>
    <w:rsid w:val="00A02766"/>
    <w:rsid w:val="00A0573E"/>
    <w:rsid w:val="00A06820"/>
    <w:rsid w:val="00A12E7B"/>
    <w:rsid w:val="00A2386F"/>
    <w:rsid w:val="00A27C45"/>
    <w:rsid w:val="00A27FE0"/>
    <w:rsid w:val="00A327C2"/>
    <w:rsid w:val="00A32A4C"/>
    <w:rsid w:val="00A3333C"/>
    <w:rsid w:val="00A33502"/>
    <w:rsid w:val="00A3573A"/>
    <w:rsid w:val="00A4287E"/>
    <w:rsid w:val="00A45F9E"/>
    <w:rsid w:val="00A47D7F"/>
    <w:rsid w:val="00A516E7"/>
    <w:rsid w:val="00A55B61"/>
    <w:rsid w:val="00A55E1B"/>
    <w:rsid w:val="00A61911"/>
    <w:rsid w:val="00A61F58"/>
    <w:rsid w:val="00A63530"/>
    <w:rsid w:val="00A64F19"/>
    <w:rsid w:val="00A6606C"/>
    <w:rsid w:val="00A70CA0"/>
    <w:rsid w:val="00A769CC"/>
    <w:rsid w:val="00A82516"/>
    <w:rsid w:val="00A8538A"/>
    <w:rsid w:val="00A86624"/>
    <w:rsid w:val="00A86DC7"/>
    <w:rsid w:val="00A965CC"/>
    <w:rsid w:val="00AA1451"/>
    <w:rsid w:val="00AA1A47"/>
    <w:rsid w:val="00AA5D2F"/>
    <w:rsid w:val="00AA7DED"/>
    <w:rsid w:val="00AA7E7F"/>
    <w:rsid w:val="00AB02C6"/>
    <w:rsid w:val="00AB0FBE"/>
    <w:rsid w:val="00AB4933"/>
    <w:rsid w:val="00AC0970"/>
    <w:rsid w:val="00AC24BC"/>
    <w:rsid w:val="00AC2799"/>
    <w:rsid w:val="00AD10BC"/>
    <w:rsid w:val="00AD60D2"/>
    <w:rsid w:val="00AE13AA"/>
    <w:rsid w:val="00AE42EB"/>
    <w:rsid w:val="00AE49C4"/>
    <w:rsid w:val="00AE4D63"/>
    <w:rsid w:val="00AF1A33"/>
    <w:rsid w:val="00AF211C"/>
    <w:rsid w:val="00AF338B"/>
    <w:rsid w:val="00AF3520"/>
    <w:rsid w:val="00AF568D"/>
    <w:rsid w:val="00AF705F"/>
    <w:rsid w:val="00B02C34"/>
    <w:rsid w:val="00B0492F"/>
    <w:rsid w:val="00B063B2"/>
    <w:rsid w:val="00B11059"/>
    <w:rsid w:val="00B11088"/>
    <w:rsid w:val="00B1188F"/>
    <w:rsid w:val="00B1307B"/>
    <w:rsid w:val="00B1757E"/>
    <w:rsid w:val="00B17E08"/>
    <w:rsid w:val="00B256B5"/>
    <w:rsid w:val="00B26134"/>
    <w:rsid w:val="00B26710"/>
    <w:rsid w:val="00B26938"/>
    <w:rsid w:val="00B30EF5"/>
    <w:rsid w:val="00B33D32"/>
    <w:rsid w:val="00B37134"/>
    <w:rsid w:val="00B40E40"/>
    <w:rsid w:val="00B43323"/>
    <w:rsid w:val="00B447C8"/>
    <w:rsid w:val="00B52B2D"/>
    <w:rsid w:val="00B54A4E"/>
    <w:rsid w:val="00B56C60"/>
    <w:rsid w:val="00B65A06"/>
    <w:rsid w:val="00B66419"/>
    <w:rsid w:val="00B7041D"/>
    <w:rsid w:val="00B7103F"/>
    <w:rsid w:val="00B76BB1"/>
    <w:rsid w:val="00B76E8E"/>
    <w:rsid w:val="00B804F1"/>
    <w:rsid w:val="00B81C57"/>
    <w:rsid w:val="00B83FC4"/>
    <w:rsid w:val="00B845C4"/>
    <w:rsid w:val="00B85189"/>
    <w:rsid w:val="00B901B0"/>
    <w:rsid w:val="00B91021"/>
    <w:rsid w:val="00B95011"/>
    <w:rsid w:val="00B96C30"/>
    <w:rsid w:val="00B97BE0"/>
    <w:rsid w:val="00BA0B22"/>
    <w:rsid w:val="00BA110B"/>
    <w:rsid w:val="00BA1C7E"/>
    <w:rsid w:val="00BA234F"/>
    <w:rsid w:val="00BA7F1C"/>
    <w:rsid w:val="00BB0ECF"/>
    <w:rsid w:val="00BB514B"/>
    <w:rsid w:val="00BB72C2"/>
    <w:rsid w:val="00BB74A5"/>
    <w:rsid w:val="00BC0976"/>
    <w:rsid w:val="00BC1131"/>
    <w:rsid w:val="00BC5B59"/>
    <w:rsid w:val="00BC7EC5"/>
    <w:rsid w:val="00BD1A52"/>
    <w:rsid w:val="00BD3227"/>
    <w:rsid w:val="00BD3581"/>
    <w:rsid w:val="00BD6233"/>
    <w:rsid w:val="00BD770E"/>
    <w:rsid w:val="00BE1F82"/>
    <w:rsid w:val="00BE30D8"/>
    <w:rsid w:val="00BE5B33"/>
    <w:rsid w:val="00BE632F"/>
    <w:rsid w:val="00BE673D"/>
    <w:rsid w:val="00BE71BE"/>
    <w:rsid w:val="00BF1109"/>
    <w:rsid w:val="00BF216C"/>
    <w:rsid w:val="00BF2B0A"/>
    <w:rsid w:val="00BF36D2"/>
    <w:rsid w:val="00BF3C5D"/>
    <w:rsid w:val="00BF3F33"/>
    <w:rsid w:val="00BF5CDA"/>
    <w:rsid w:val="00BF7AC9"/>
    <w:rsid w:val="00C013D5"/>
    <w:rsid w:val="00C02A6A"/>
    <w:rsid w:val="00C20DD2"/>
    <w:rsid w:val="00C21124"/>
    <w:rsid w:val="00C25DB0"/>
    <w:rsid w:val="00C27775"/>
    <w:rsid w:val="00C27A49"/>
    <w:rsid w:val="00C314FC"/>
    <w:rsid w:val="00C31824"/>
    <w:rsid w:val="00C32819"/>
    <w:rsid w:val="00C36199"/>
    <w:rsid w:val="00C40175"/>
    <w:rsid w:val="00C46F30"/>
    <w:rsid w:val="00C53DF0"/>
    <w:rsid w:val="00C5729E"/>
    <w:rsid w:val="00C5747B"/>
    <w:rsid w:val="00C629E9"/>
    <w:rsid w:val="00C643CC"/>
    <w:rsid w:val="00C66995"/>
    <w:rsid w:val="00C6771D"/>
    <w:rsid w:val="00C736B4"/>
    <w:rsid w:val="00C74565"/>
    <w:rsid w:val="00C759A7"/>
    <w:rsid w:val="00C75B4C"/>
    <w:rsid w:val="00C76179"/>
    <w:rsid w:val="00C7642A"/>
    <w:rsid w:val="00C76971"/>
    <w:rsid w:val="00C80D6B"/>
    <w:rsid w:val="00C84C3F"/>
    <w:rsid w:val="00C85995"/>
    <w:rsid w:val="00C86B8A"/>
    <w:rsid w:val="00C90DE7"/>
    <w:rsid w:val="00C93000"/>
    <w:rsid w:val="00C946B0"/>
    <w:rsid w:val="00C94A79"/>
    <w:rsid w:val="00C94F80"/>
    <w:rsid w:val="00C97574"/>
    <w:rsid w:val="00C97F5F"/>
    <w:rsid w:val="00CA0333"/>
    <w:rsid w:val="00CA08F6"/>
    <w:rsid w:val="00CA25FD"/>
    <w:rsid w:val="00CA68D2"/>
    <w:rsid w:val="00CA6B8C"/>
    <w:rsid w:val="00CA71E2"/>
    <w:rsid w:val="00CB5FA2"/>
    <w:rsid w:val="00CB68F7"/>
    <w:rsid w:val="00CC0C0A"/>
    <w:rsid w:val="00CC3A59"/>
    <w:rsid w:val="00CD20AE"/>
    <w:rsid w:val="00CD2F41"/>
    <w:rsid w:val="00CD5BDC"/>
    <w:rsid w:val="00CD6214"/>
    <w:rsid w:val="00CD73F6"/>
    <w:rsid w:val="00CE40A1"/>
    <w:rsid w:val="00CE646C"/>
    <w:rsid w:val="00CE68E3"/>
    <w:rsid w:val="00CF12E5"/>
    <w:rsid w:val="00CF7907"/>
    <w:rsid w:val="00D02077"/>
    <w:rsid w:val="00D078C9"/>
    <w:rsid w:val="00D12F55"/>
    <w:rsid w:val="00D212CF"/>
    <w:rsid w:val="00D2504F"/>
    <w:rsid w:val="00D32DBB"/>
    <w:rsid w:val="00D4350E"/>
    <w:rsid w:val="00D44ACD"/>
    <w:rsid w:val="00D4749C"/>
    <w:rsid w:val="00D52D69"/>
    <w:rsid w:val="00D544F4"/>
    <w:rsid w:val="00D6226F"/>
    <w:rsid w:val="00D62696"/>
    <w:rsid w:val="00D6780D"/>
    <w:rsid w:val="00D6794F"/>
    <w:rsid w:val="00D67C64"/>
    <w:rsid w:val="00D719D9"/>
    <w:rsid w:val="00D75282"/>
    <w:rsid w:val="00D80FF3"/>
    <w:rsid w:val="00D82C3B"/>
    <w:rsid w:val="00D86A2B"/>
    <w:rsid w:val="00D872F7"/>
    <w:rsid w:val="00D87DC7"/>
    <w:rsid w:val="00D95068"/>
    <w:rsid w:val="00DA0554"/>
    <w:rsid w:val="00DA6BB8"/>
    <w:rsid w:val="00DB1F70"/>
    <w:rsid w:val="00DB629C"/>
    <w:rsid w:val="00DB651A"/>
    <w:rsid w:val="00DB777E"/>
    <w:rsid w:val="00DC7978"/>
    <w:rsid w:val="00DD2663"/>
    <w:rsid w:val="00DD2740"/>
    <w:rsid w:val="00DE4077"/>
    <w:rsid w:val="00DE4B18"/>
    <w:rsid w:val="00DE50F4"/>
    <w:rsid w:val="00DE6059"/>
    <w:rsid w:val="00DF1B28"/>
    <w:rsid w:val="00DF517C"/>
    <w:rsid w:val="00DF62D4"/>
    <w:rsid w:val="00DF6D18"/>
    <w:rsid w:val="00DF74F6"/>
    <w:rsid w:val="00DF7E10"/>
    <w:rsid w:val="00E0008A"/>
    <w:rsid w:val="00E010FB"/>
    <w:rsid w:val="00E05601"/>
    <w:rsid w:val="00E0782A"/>
    <w:rsid w:val="00E13F4B"/>
    <w:rsid w:val="00E15BDB"/>
    <w:rsid w:val="00E16F42"/>
    <w:rsid w:val="00E17C90"/>
    <w:rsid w:val="00E20AFB"/>
    <w:rsid w:val="00E21B6C"/>
    <w:rsid w:val="00E26482"/>
    <w:rsid w:val="00E32452"/>
    <w:rsid w:val="00E364C0"/>
    <w:rsid w:val="00E364F6"/>
    <w:rsid w:val="00E37C6F"/>
    <w:rsid w:val="00E415A0"/>
    <w:rsid w:val="00E43A8D"/>
    <w:rsid w:val="00E44435"/>
    <w:rsid w:val="00E44DC7"/>
    <w:rsid w:val="00E45E75"/>
    <w:rsid w:val="00E47A6D"/>
    <w:rsid w:val="00E52199"/>
    <w:rsid w:val="00E5478D"/>
    <w:rsid w:val="00E57053"/>
    <w:rsid w:val="00E60554"/>
    <w:rsid w:val="00E613A9"/>
    <w:rsid w:val="00E66D7C"/>
    <w:rsid w:val="00E67696"/>
    <w:rsid w:val="00E677F2"/>
    <w:rsid w:val="00E7052B"/>
    <w:rsid w:val="00E71A21"/>
    <w:rsid w:val="00E7621E"/>
    <w:rsid w:val="00E77396"/>
    <w:rsid w:val="00E777FA"/>
    <w:rsid w:val="00E838B5"/>
    <w:rsid w:val="00E86933"/>
    <w:rsid w:val="00E91347"/>
    <w:rsid w:val="00EA03DB"/>
    <w:rsid w:val="00EA5792"/>
    <w:rsid w:val="00EC156D"/>
    <w:rsid w:val="00EC1764"/>
    <w:rsid w:val="00EC4B88"/>
    <w:rsid w:val="00ED3E3F"/>
    <w:rsid w:val="00ED4171"/>
    <w:rsid w:val="00ED6546"/>
    <w:rsid w:val="00EE0475"/>
    <w:rsid w:val="00EE31DD"/>
    <w:rsid w:val="00EE70F6"/>
    <w:rsid w:val="00EF0AA9"/>
    <w:rsid w:val="00EF277D"/>
    <w:rsid w:val="00EF2907"/>
    <w:rsid w:val="00EF41CA"/>
    <w:rsid w:val="00EF456E"/>
    <w:rsid w:val="00F06231"/>
    <w:rsid w:val="00F06D9E"/>
    <w:rsid w:val="00F11F12"/>
    <w:rsid w:val="00F11F57"/>
    <w:rsid w:val="00F131B7"/>
    <w:rsid w:val="00F14922"/>
    <w:rsid w:val="00F21CA0"/>
    <w:rsid w:val="00F30ABA"/>
    <w:rsid w:val="00F30E7A"/>
    <w:rsid w:val="00F32BC0"/>
    <w:rsid w:val="00F32EF2"/>
    <w:rsid w:val="00F370A7"/>
    <w:rsid w:val="00F37194"/>
    <w:rsid w:val="00F44964"/>
    <w:rsid w:val="00F502DD"/>
    <w:rsid w:val="00F50BF8"/>
    <w:rsid w:val="00F5248F"/>
    <w:rsid w:val="00F5528D"/>
    <w:rsid w:val="00F601A1"/>
    <w:rsid w:val="00F60660"/>
    <w:rsid w:val="00F6077E"/>
    <w:rsid w:val="00F6399D"/>
    <w:rsid w:val="00F663DA"/>
    <w:rsid w:val="00F66689"/>
    <w:rsid w:val="00F67D04"/>
    <w:rsid w:val="00F700FF"/>
    <w:rsid w:val="00F74DF8"/>
    <w:rsid w:val="00F8135F"/>
    <w:rsid w:val="00F8318A"/>
    <w:rsid w:val="00F834C2"/>
    <w:rsid w:val="00F842C7"/>
    <w:rsid w:val="00F876FC"/>
    <w:rsid w:val="00F87E1E"/>
    <w:rsid w:val="00F87E61"/>
    <w:rsid w:val="00F9099D"/>
    <w:rsid w:val="00F95BD6"/>
    <w:rsid w:val="00F973CB"/>
    <w:rsid w:val="00FA02CD"/>
    <w:rsid w:val="00FA1566"/>
    <w:rsid w:val="00FA21E5"/>
    <w:rsid w:val="00FA4CAC"/>
    <w:rsid w:val="00FA5A0F"/>
    <w:rsid w:val="00FA755E"/>
    <w:rsid w:val="00FA7B7C"/>
    <w:rsid w:val="00FB1BDD"/>
    <w:rsid w:val="00FB3E55"/>
    <w:rsid w:val="00FB6D6B"/>
    <w:rsid w:val="00FC0884"/>
    <w:rsid w:val="00FC1303"/>
    <w:rsid w:val="00FD3A39"/>
    <w:rsid w:val="00FD432D"/>
    <w:rsid w:val="00FD48C6"/>
    <w:rsid w:val="00FE1DDC"/>
    <w:rsid w:val="00FE6D46"/>
    <w:rsid w:val="00FF0CF7"/>
    <w:rsid w:val="00FF1050"/>
    <w:rsid w:val="00F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7058744"/>
  <w15:docId w15:val="{41152E78-DA98-49F0-8A92-1250EA3B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8AF"/>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nhideWhenUsed/>
    <w:qFormat/>
    <w:rsid w:val="005C4C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pPr>
      <w:keepNext/>
      <w:widowControl w:val="0"/>
      <w:jc w:val="center"/>
      <w:outlineLvl w:val="3"/>
    </w:pPr>
    <w:rPr>
      <w:sz w:val="48"/>
    </w:rPr>
  </w:style>
  <w:style w:type="paragraph" w:styleId="Heading5">
    <w:name w:val="heading 5"/>
    <w:basedOn w:val="Normal"/>
    <w:next w:val="Normal"/>
    <w:qFormat/>
    <w:pPr>
      <w:keepNext/>
      <w:widowControl w:val="0"/>
      <w:outlineLvl w:val="4"/>
    </w:pPr>
    <w:rPr>
      <w:b/>
      <w:u w:val="single"/>
    </w:rPr>
  </w:style>
  <w:style w:type="paragraph" w:styleId="Heading6">
    <w:name w:val="heading 6"/>
    <w:basedOn w:val="Normal"/>
    <w:next w:val="Normal"/>
    <w:qFormat/>
    <w:pPr>
      <w:keepNext/>
      <w:numPr>
        <w:numId w:val="1"/>
      </w:numPr>
      <w:tabs>
        <w:tab w:val="num" w:pos="360"/>
      </w:tabs>
      <w:outlineLvl w:val="5"/>
    </w:pPr>
    <w:rPr>
      <w:color w:val="FF0000"/>
    </w:rPr>
  </w:style>
  <w:style w:type="paragraph" w:styleId="Heading7">
    <w:name w:val="heading 7"/>
    <w:basedOn w:val="Normal"/>
    <w:next w:val="Normal"/>
    <w:qFormat/>
    <w:rsid w:val="00EF41CA"/>
    <w:pPr>
      <w:widowControl w:val="0"/>
      <w:tabs>
        <w:tab w:val="num" w:pos="0"/>
      </w:tabs>
      <w:spacing w:line="240" w:lineRule="exact"/>
      <w:ind w:hanging="280"/>
      <w:outlineLvl w:val="6"/>
    </w:pPr>
    <w:rPr>
      <w:rFonts w:eastAsia="Times"/>
      <w:color w:val="686800"/>
      <w:lang w:eastAsia="en-GB"/>
    </w:rPr>
  </w:style>
  <w:style w:type="paragraph" w:styleId="Heading8">
    <w:name w:val="heading 8"/>
    <w:basedOn w:val="Normal"/>
    <w:next w:val="Normal"/>
    <w:qFormat/>
    <w:pPr>
      <w:keepNext/>
      <w:widowControl w:val="0"/>
      <w:jc w:val="center"/>
      <w:outlineLvl w:val="7"/>
    </w:pPr>
    <w:rPr>
      <w:sz w:val="28"/>
    </w:rPr>
  </w:style>
  <w:style w:type="paragraph" w:styleId="Heading9">
    <w:name w:val="heading 9"/>
    <w:basedOn w:val="Normal"/>
    <w:next w:val="Normal"/>
    <w:qFormat/>
    <w:pPr>
      <w:keepNext/>
      <w:widowControl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color w:val="FF0000"/>
    </w:rPr>
  </w:style>
  <w:style w:type="paragraph" w:styleId="BodyText">
    <w:name w:val="Body Text"/>
    <w:basedOn w:val="Normal"/>
    <w:pPr>
      <w:widowControl w:val="0"/>
    </w:pPr>
    <w:rPr>
      <w:b/>
      <w:i/>
      <w:color w:val="FF0000"/>
      <w:lang w:val="en-US"/>
    </w:rPr>
  </w:style>
  <w:style w:type="paragraph" w:styleId="BodyTextIndent">
    <w:name w:val="Body Text Indent"/>
    <w:basedOn w:val="Normal"/>
    <w:pPr>
      <w:widowControl w:val="0"/>
    </w:pPr>
    <w:rPr>
      <w:color w:val="0000FF"/>
      <w:lang w:val="en-US"/>
    </w:rPr>
  </w:style>
  <w:style w:type="paragraph" w:styleId="MacroText">
    <w:name w:val="macro"/>
    <w:basedOn w:val="Caption"/>
    <w:semiHidden/>
    <w:pPr>
      <w:tabs>
        <w:tab w:val="left" w:pos="432"/>
        <w:tab w:val="left" w:pos="720"/>
        <w:tab w:val="left" w:pos="1008"/>
        <w:tab w:val="left" w:pos="1440"/>
        <w:tab w:val="left" w:pos="1920"/>
        <w:tab w:val="left" w:pos="2400"/>
        <w:tab w:val="left" w:pos="2880"/>
        <w:tab w:val="left" w:pos="3360"/>
        <w:tab w:val="left" w:pos="3840"/>
        <w:tab w:val="left" w:pos="4320"/>
      </w:tabs>
      <w:spacing w:before="0" w:after="0"/>
    </w:pPr>
    <w:rPr>
      <w:rFonts w:ascii="Courier New" w:hAnsi="Courier New"/>
      <w:b w:val="0"/>
      <w:kern w:val="20"/>
      <w:sz w:val="18"/>
    </w:rPr>
  </w:style>
  <w:style w:type="paragraph" w:styleId="Caption">
    <w:name w:val="caption"/>
    <w:basedOn w:val="Normal"/>
    <w:next w:val="Normal"/>
    <w:qFormat/>
    <w:pPr>
      <w:widowControl w:val="0"/>
      <w:spacing w:before="120" w:after="120"/>
    </w:pPr>
    <w:rPr>
      <w:b/>
      <w:lang w:val="en-US"/>
    </w:rPr>
  </w:style>
  <w:style w:type="paragraph" w:customStyle="1" w:styleId="text">
    <w:name w:val="text"/>
    <w:basedOn w:val="Normal"/>
    <w:rPr>
      <w:sz w:val="22"/>
    </w:rPr>
  </w:style>
  <w:style w:type="paragraph" w:customStyle="1" w:styleId="Subhead">
    <w:name w:val="Subhead"/>
    <w:basedOn w:val="Normal"/>
    <w:rPr>
      <w:b/>
      <w:sz w:val="22"/>
      <w:u w:val="single"/>
    </w:rPr>
  </w:style>
  <w:style w:type="character" w:styleId="PageNumber">
    <w:name w:val="page number"/>
    <w:basedOn w:val="DefaultParagraphFont"/>
  </w:style>
  <w:style w:type="paragraph" w:customStyle="1" w:styleId="Subheadings">
    <w:name w:val="Subheadings"/>
    <w:basedOn w:val="Normal"/>
    <w:rPr>
      <w:b/>
      <w:sz w:val="22"/>
    </w:rPr>
  </w:style>
  <w:style w:type="table" w:styleId="TableGrid">
    <w:name w:val="Table Grid"/>
    <w:basedOn w:val="TableNormal"/>
    <w:rsid w:val="004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13F4B"/>
    <w:pPr>
      <w:shd w:val="clear" w:color="auto" w:fill="000080"/>
    </w:pPr>
    <w:rPr>
      <w:rFonts w:ascii="Tahoma" w:hAnsi="Tahoma" w:cs="Tahoma"/>
    </w:rPr>
  </w:style>
  <w:style w:type="paragraph" w:styleId="BodyText2">
    <w:name w:val="Body Text 2"/>
    <w:basedOn w:val="Normal"/>
    <w:rsid w:val="008E3E06"/>
    <w:pPr>
      <w:spacing w:after="120" w:line="480" w:lineRule="auto"/>
    </w:pPr>
  </w:style>
  <w:style w:type="paragraph" w:styleId="BalloonText">
    <w:name w:val="Balloon Text"/>
    <w:basedOn w:val="Normal"/>
    <w:semiHidden/>
    <w:rsid w:val="00372520"/>
    <w:rPr>
      <w:rFonts w:ascii="Tahoma" w:hAnsi="Tahoma" w:cs="Tahoma"/>
      <w:sz w:val="16"/>
      <w:szCs w:val="16"/>
    </w:rPr>
  </w:style>
  <w:style w:type="paragraph" w:customStyle="1" w:styleId="Default">
    <w:name w:val="Default"/>
    <w:rsid w:val="00CF7907"/>
    <w:pPr>
      <w:autoSpaceDE w:val="0"/>
      <w:autoSpaceDN w:val="0"/>
      <w:adjustRightInd w:val="0"/>
    </w:pPr>
    <w:rPr>
      <w:rFonts w:ascii="Arial" w:hAnsi="Arial" w:cs="Arial"/>
      <w:color w:val="000000"/>
      <w:sz w:val="24"/>
      <w:szCs w:val="24"/>
    </w:rPr>
  </w:style>
  <w:style w:type="paragraph" w:styleId="BodyTextIndent2">
    <w:name w:val="Body Text Indent 2"/>
    <w:basedOn w:val="Normal"/>
    <w:rsid w:val="002D46EA"/>
    <w:pPr>
      <w:spacing w:after="120" w:line="480" w:lineRule="auto"/>
      <w:ind w:left="283"/>
    </w:pPr>
  </w:style>
  <w:style w:type="paragraph" w:customStyle="1" w:styleId="TableText">
    <w:name w:val="Table Text"/>
    <w:link w:val="TableTextChar"/>
    <w:rsid w:val="00EF41CA"/>
    <w:pPr>
      <w:spacing w:before="60" w:after="60" w:line="240" w:lineRule="atLeast"/>
    </w:pPr>
    <w:rPr>
      <w:rFonts w:ascii="Arial" w:eastAsia="Times" w:hAnsi="Arial"/>
      <w:sz w:val="18"/>
      <w:szCs w:val="18"/>
    </w:rPr>
  </w:style>
  <w:style w:type="character" w:customStyle="1" w:styleId="TableTextChar">
    <w:name w:val="Table Text Char"/>
    <w:link w:val="TableText"/>
    <w:rsid w:val="00EF41CA"/>
    <w:rPr>
      <w:rFonts w:ascii="Arial" w:eastAsia="Times" w:hAnsi="Arial"/>
      <w:sz w:val="18"/>
      <w:szCs w:val="18"/>
      <w:lang w:val="en-GB" w:eastAsia="en-GB" w:bidi="ar-SA"/>
    </w:rPr>
  </w:style>
  <w:style w:type="character" w:styleId="Hyperlink">
    <w:name w:val="Hyperlink"/>
    <w:rsid w:val="003D4E08"/>
    <w:rPr>
      <w:color w:val="0000FF"/>
      <w:u w:val="single"/>
    </w:rPr>
  </w:style>
  <w:style w:type="character" w:styleId="FollowedHyperlink">
    <w:name w:val="FollowedHyperlink"/>
    <w:rsid w:val="003D4E08"/>
    <w:rPr>
      <w:color w:val="800080"/>
      <w:u w:val="single"/>
    </w:rPr>
  </w:style>
  <w:style w:type="paragraph" w:customStyle="1" w:styleId="a">
    <w:basedOn w:val="Normal"/>
    <w:rsid w:val="00194B7F"/>
    <w:pPr>
      <w:keepLines/>
      <w:spacing w:after="160" w:line="240" w:lineRule="exact"/>
      <w:ind w:left="2977"/>
    </w:pPr>
    <w:rPr>
      <w:rFonts w:ascii="Tahoma" w:hAnsi="Tahoma"/>
      <w:szCs w:val="24"/>
      <w:lang w:val="en-US"/>
    </w:rPr>
  </w:style>
  <w:style w:type="paragraph" w:styleId="Subtitle">
    <w:name w:val="Subtitle"/>
    <w:basedOn w:val="Normal"/>
    <w:qFormat/>
    <w:rsid w:val="00775D1F"/>
    <w:pPr>
      <w:widowControl w:val="0"/>
      <w:tabs>
        <w:tab w:val="left" w:pos="3544"/>
      </w:tabs>
      <w:autoSpaceDE w:val="0"/>
      <w:autoSpaceDN w:val="0"/>
      <w:adjustRightInd w:val="0"/>
      <w:ind w:left="3544" w:hanging="2104"/>
      <w:jc w:val="center"/>
    </w:pPr>
    <w:rPr>
      <w:rFonts w:cs="Arial"/>
      <w:b/>
      <w:bCs/>
      <w:szCs w:val="24"/>
      <w:lang w:eastAsia="en-GB"/>
    </w:rPr>
  </w:style>
  <w:style w:type="paragraph" w:customStyle="1" w:styleId="CharCharChar">
    <w:name w:val="Char Char Char"/>
    <w:basedOn w:val="Normal"/>
    <w:rsid w:val="00775D1F"/>
    <w:pPr>
      <w:keepLines/>
      <w:spacing w:after="160" w:line="240" w:lineRule="exact"/>
      <w:ind w:left="2977"/>
    </w:pPr>
    <w:rPr>
      <w:rFonts w:ascii="Tahoma" w:hAnsi="Tahoma"/>
      <w:szCs w:val="24"/>
      <w:lang w:val="en-US"/>
    </w:rPr>
  </w:style>
  <w:style w:type="paragraph" w:customStyle="1" w:styleId="FreeForm">
    <w:name w:val="Free Form"/>
    <w:rsid w:val="00FB6D6B"/>
    <w:rPr>
      <w:rFonts w:eastAsia="ヒラギノ角ゴ Pro W3"/>
      <w:color w:val="000000"/>
    </w:rPr>
  </w:style>
  <w:style w:type="character" w:styleId="CommentReference">
    <w:name w:val="annotation reference"/>
    <w:semiHidden/>
    <w:rsid w:val="001C12D6"/>
    <w:rPr>
      <w:sz w:val="16"/>
      <w:szCs w:val="16"/>
    </w:rPr>
  </w:style>
  <w:style w:type="paragraph" w:styleId="CommentText">
    <w:name w:val="annotation text"/>
    <w:basedOn w:val="Normal"/>
    <w:semiHidden/>
    <w:rsid w:val="001C12D6"/>
  </w:style>
  <w:style w:type="paragraph" w:styleId="CommentSubject">
    <w:name w:val="annotation subject"/>
    <w:basedOn w:val="CommentText"/>
    <w:next w:val="CommentText"/>
    <w:semiHidden/>
    <w:rsid w:val="001C12D6"/>
    <w:rPr>
      <w:b/>
      <w:bCs/>
    </w:rPr>
  </w:style>
  <w:style w:type="paragraph" w:styleId="ListParagraph">
    <w:name w:val="List Paragraph"/>
    <w:basedOn w:val="Normal"/>
    <w:uiPriority w:val="34"/>
    <w:qFormat/>
    <w:rsid w:val="005471A8"/>
    <w:pPr>
      <w:ind w:left="720"/>
    </w:pPr>
  </w:style>
  <w:style w:type="character" w:customStyle="1" w:styleId="FooterChar">
    <w:name w:val="Footer Char"/>
    <w:basedOn w:val="DefaultParagraphFont"/>
    <w:link w:val="Footer"/>
    <w:uiPriority w:val="99"/>
    <w:rsid w:val="002329D4"/>
    <w:rPr>
      <w:rFonts w:ascii="Arial" w:hAnsi="Arial"/>
      <w:sz w:val="24"/>
      <w:lang w:eastAsia="en-US"/>
    </w:rPr>
  </w:style>
  <w:style w:type="character" w:customStyle="1" w:styleId="Heading2Char">
    <w:name w:val="Heading 2 Char"/>
    <w:basedOn w:val="DefaultParagraphFont"/>
    <w:link w:val="Heading2"/>
    <w:rsid w:val="005C4C2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430">
      <w:bodyDiv w:val="1"/>
      <w:marLeft w:val="0"/>
      <w:marRight w:val="0"/>
      <w:marTop w:val="0"/>
      <w:marBottom w:val="0"/>
      <w:divBdr>
        <w:top w:val="none" w:sz="0" w:space="0" w:color="auto"/>
        <w:left w:val="none" w:sz="0" w:space="0" w:color="auto"/>
        <w:bottom w:val="none" w:sz="0" w:space="0" w:color="auto"/>
        <w:right w:val="none" w:sz="0" w:space="0" w:color="auto"/>
      </w:divBdr>
    </w:div>
    <w:div w:id="627246118">
      <w:bodyDiv w:val="1"/>
      <w:marLeft w:val="0"/>
      <w:marRight w:val="0"/>
      <w:marTop w:val="0"/>
      <w:marBottom w:val="0"/>
      <w:divBdr>
        <w:top w:val="none" w:sz="0" w:space="0" w:color="auto"/>
        <w:left w:val="none" w:sz="0" w:space="0" w:color="auto"/>
        <w:bottom w:val="none" w:sz="0" w:space="0" w:color="auto"/>
        <w:right w:val="none" w:sz="0" w:space="0" w:color="auto"/>
      </w:divBdr>
    </w:div>
    <w:div w:id="637420021">
      <w:bodyDiv w:val="1"/>
      <w:marLeft w:val="0"/>
      <w:marRight w:val="0"/>
      <w:marTop w:val="0"/>
      <w:marBottom w:val="0"/>
      <w:divBdr>
        <w:top w:val="none" w:sz="0" w:space="0" w:color="auto"/>
        <w:left w:val="none" w:sz="0" w:space="0" w:color="auto"/>
        <w:bottom w:val="none" w:sz="0" w:space="0" w:color="auto"/>
        <w:right w:val="none" w:sz="0" w:space="0" w:color="auto"/>
      </w:divBdr>
    </w:div>
    <w:div w:id="668481040">
      <w:bodyDiv w:val="1"/>
      <w:marLeft w:val="0"/>
      <w:marRight w:val="0"/>
      <w:marTop w:val="0"/>
      <w:marBottom w:val="0"/>
      <w:divBdr>
        <w:top w:val="none" w:sz="0" w:space="0" w:color="auto"/>
        <w:left w:val="none" w:sz="0" w:space="0" w:color="auto"/>
        <w:bottom w:val="none" w:sz="0" w:space="0" w:color="auto"/>
        <w:right w:val="none" w:sz="0" w:space="0" w:color="auto"/>
      </w:divBdr>
    </w:div>
    <w:div w:id="857307006">
      <w:bodyDiv w:val="1"/>
      <w:marLeft w:val="0"/>
      <w:marRight w:val="0"/>
      <w:marTop w:val="0"/>
      <w:marBottom w:val="0"/>
      <w:divBdr>
        <w:top w:val="none" w:sz="0" w:space="0" w:color="auto"/>
        <w:left w:val="none" w:sz="0" w:space="0" w:color="auto"/>
        <w:bottom w:val="none" w:sz="0" w:space="0" w:color="auto"/>
        <w:right w:val="none" w:sz="0" w:space="0" w:color="auto"/>
      </w:divBdr>
    </w:div>
    <w:div w:id="976766567">
      <w:bodyDiv w:val="1"/>
      <w:marLeft w:val="0"/>
      <w:marRight w:val="0"/>
      <w:marTop w:val="0"/>
      <w:marBottom w:val="0"/>
      <w:divBdr>
        <w:top w:val="none" w:sz="0" w:space="0" w:color="auto"/>
        <w:left w:val="none" w:sz="0" w:space="0" w:color="auto"/>
        <w:bottom w:val="none" w:sz="0" w:space="0" w:color="auto"/>
        <w:right w:val="none" w:sz="0" w:space="0" w:color="auto"/>
      </w:divBdr>
    </w:div>
    <w:div w:id="1026324623">
      <w:bodyDiv w:val="1"/>
      <w:marLeft w:val="0"/>
      <w:marRight w:val="0"/>
      <w:marTop w:val="0"/>
      <w:marBottom w:val="0"/>
      <w:divBdr>
        <w:top w:val="none" w:sz="0" w:space="0" w:color="auto"/>
        <w:left w:val="none" w:sz="0" w:space="0" w:color="auto"/>
        <w:bottom w:val="none" w:sz="0" w:space="0" w:color="auto"/>
        <w:right w:val="none" w:sz="0" w:space="0" w:color="auto"/>
      </w:divBdr>
    </w:div>
    <w:div w:id="1280188157">
      <w:bodyDiv w:val="1"/>
      <w:marLeft w:val="0"/>
      <w:marRight w:val="0"/>
      <w:marTop w:val="0"/>
      <w:marBottom w:val="0"/>
      <w:divBdr>
        <w:top w:val="none" w:sz="0" w:space="0" w:color="auto"/>
        <w:left w:val="none" w:sz="0" w:space="0" w:color="auto"/>
        <w:bottom w:val="none" w:sz="0" w:space="0" w:color="auto"/>
        <w:right w:val="none" w:sz="0" w:space="0" w:color="auto"/>
      </w:divBdr>
    </w:div>
    <w:div w:id="1330251715">
      <w:bodyDiv w:val="1"/>
      <w:marLeft w:val="0"/>
      <w:marRight w:val="0"/>
      <w:marTop w:val="0"/>
      <w:marBottom w:val="0"/>
      <w:divBdr>
        <w:top w:val="none" w:sz="0" w:space="0" w:color="auto"/>
        <w:left w:val="none" w:sz="0" w:space="0" w:color="auto"/>
        <w:bottom w:val="none" w:sz="0" w:space="0" w:color="auto"/>
        <w:right w:val="none" w:sz="0" w:space="0" w:color="auto"/>
      </w:divBdr>
    </w:div>
    <w:div w:id="1392196254">
      <w:bodyDiv w:val="1"/>
      <w:marLeft w:val="0"/>
      <w:marRight w:val="0"/>
      <w:marTop w:val="0"/>
      <w:marBottom w:val="0"/>
      <w:divBdr>
        <w:top w:val="none" w:sz="0" w:space="0" w:color="auto"/>
        <w:left w:val="none" w:sz="0" w:space="0" w:color="auto"/>
        <w:bottom w:val="none" w:sz="0" w:space="0" w:color="auto"/>
        <w:right w:val="none" w:sz="0" w:space="0" w:color="auto"/>
      </w:divBdr>
    </w:div>
    <w:div w:id="1490095799">
      <w:bodyDiv w:val="1"/>
      <w:marLeft w:val="0"/>
      <w:marRight w:val="0"/>
      <w:marTop w:val="0"/>
      <w:marBottom w:val="0"/>
      <w:divBdr>
        <w:top w:val="none" w:sz="0" w:space="0" w:color="auto"/>
        <w:left w:val="none" w:sz="0" w:space="0" w:color="auto"/>
        <w:bottom w:val="none" w:sz="0" w:space="0" w:color="auto"/>
        <w:right w:val="none" w:sz="0" w:space="0" w:color="auto"/>
      </w:divBdr>
    </w:div>
    <w:div w:id="1737895579">
      <w:bodyDiv w:val="1"/>
      <w:marLeft w:val="0"/>
      <w:marRight w:val="0"/>
      <w:marTop w:val="0"/>
      <w:marBottom w:val="0"/>
      <w:divBdr>
        <w:top w:val="none" w:sz="0" w:space="0" w:color="auto"/>
        <w:left w:val="none" w:sz="0" w:space="0" w:color="auto"/>
        <w:bottom w:val="none" w:sz="0" w:space="0" w:color="auto"/>
        <w:right w:val="none" w:sz="0" w:space="0" w:color="auto"/>
      </w:divBdr>
    </w:div>
    <w:div w:id="1990596276">
      <w:bodyDiv w:val="1"/>
      <w:marLeft w:val="0"/>
      <w:marRight w:val="0"/>
      <w:marTop w:val="0"/>
      <w:marBottom w:val="0"/>
      <w:divBdr>
        <w:top w:val="none" w:sz="0" w:space="0" w:color="auto"/>
        <w:left w:val="none" w:sz="0" w:space="0" w:color="auto"/>
        <w:bottom w:val="none" w:sz="0" w:space="0" w:color="auto"/>
        <w:right w:val="none" w:sz="0" w:space="0" w:color="auto"/>
      </w:divBdr>
    </w:div>
    <w:div w:id="19941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GB"/>
              <a:t>Audit Coverage 2021-2022</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'SRBC stats annual plan'!$A$4:$A$10</c:f>
              <c:strCache>
                <c:ptCount val="7"/>
                <c:pt idx="0">
                  <c:v>Corporate</c:v>
                </c:pt>
                <c:pt idx="1">
                  <c:v>Customer and Digital</c:v>
                </c:pt>
                <c:pt idx="2">
                  <c:v>Commercial and Property</c:v>
                </c:pt>
                <c:pt idx="3">
                  <c:v>Communities</c:v>
                </c:pt>
                <c:pt idx="4">
                  <c:v>Transforamtion and Partnership</c:v>
                </c:pt>
                <c:pt idx="5">
                  <c:v>Governance</c:v>
                </c:pt>
                <c:pt idx="6">
                  <c:v>Shared Financial Services</c:v>
                </c:pt>
              </c:strCache>
            </c:strRef>
          </c:cat>
          <c:val>
            <c:numRef>
              <c:f>'SRBC stats annual plan'!$B$4:$B$10</c:f>
            </c:numRef>
          </c:val>
          <c:extLst>
            <c:ext xmlns:c16="http://schemas.microsoft.com/office/drawing/2014/chart" uri="{C3380CC4-5D6E-409C-BE32-E72D297353CC}">
              <c16:uniqueId val="{00000000-E455-41FC-8416-FDF5C5672CA2}"/>
            </c:ext>
          </c:extLst>
        </c:ser>
        <c:ser>
          <c:idx val="1"/>
          <c:order val="1"/>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2-E455-41FC-8416-FDF5C5672CA2}"/>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4-E455-41FC-8416-FDF5C5672CA2}"/>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6-E455-41FC-8416-FDF5C5672CA2}"/>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8-E455-41FC-8416-FDF5C5672CA2}"/>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A-E455-41FC-8416-FDF5C5672CA2}"/>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C-E455-41FC-8416-FDF5C5672CA2}"/>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E-E455-41FC-8416-FDF5C5672C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'SRBC stats annual plan'!$A$4:$A$10</c:f>
              <c:strCache>
                <c:ptCount val="7"/>
                <c:pt idx="0">
                  <c:v>Corporate</c:v>
                </c:pt>
                <c:pt idx="1">
                  <c:v>Customer and Digital</c:v>
                </c:pt>
                <c:pt idx="2">
                  <c:v>Commercial and Property</c:v>
                </c:pt>
                <c:pt idx="3">
                  <c:v>Communities</c:v>
                </c:pt>
                <c:pt idx="4">
                  <c:v>Transforamtion and Partnership</c:v>
                </c:pt>
                <c:pt idx="5">
                  <c:v>Governance</c:v>
                </c:pt>
                <c:pt idx="6">
                  <c:v>Shared Financial Services</c:v>
                </c:pt>
              </c:strCache>
            </c:strRef>
          </c:cat>
          <c:val>
            <c:numRef>
              <c:f>'SRBC stats annual plan'!$C$4:$C$10</c:f>
              <c:numCache>
                <c:formatCode>0.0%</c:formatCode>
                <c:ptCount val="7"/>
                <c:pt idx="0">
                  <c:v>9.5238095238095233E-2</c:v>
                </c:pt>
                <c:pt idx="1">
                  <c:v>0.23809523809523808</c:v>
                </c:pt>
                <c:pt idx="2">
                  <c:v>0.14285714285714285</c:v>
                </c:pt>
                <c:pt idx="3">
                  <c:v>4.7619047619047616E-2</c:v>
                </c:pt>
                <c:pt idx="4">
                  <c:v>0.14285714285714285</c:v>
                </c:pt>
                <c:pt idx="5">
                  <c:v>0.14285714285714285</c:v>
                </c:pt>
                <c:pt idx="6">
                  <c:v>0.19047619047619047</c:v>
                </c:pt>
              </c:numCache>
            </c:numRef>
          </c:val>
          <c:extLst>
            <c:ext xmlns:c16="http://schemas.microsoft.com/office/drawing/2014/chart" uri="{C3380CC4-5D6E-409C-BE32-E72D297353CC}">
              <c16:uniqueId val="{0000000F-E455-41FC-8416-FDF5C5672CA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F882-84BB-45D2-BD0D-F1051CC8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8</Pages>
  <Words>2219</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DBC IA Report Template</vt:lpstr>
    </vt:vector>
  </TitlesOfParts>
  <Company>Dartford Borough council</Company>
  <LinksUpToDate>false</LinksUpToDate>
  <CharactersWithSpaces>14453</CharactersWithSpaces>
  <SharedDoc>false</SharedDoc>
  <HLinks>
    <vt:vector size="12" baseType="variant">
      <vt:variant>
        <vt:i4>8257555</vt:i4>
      </vt:variant>
      <vt:variant>
        <vt:i4>3</vt:i4>
      </vt:variant>
      <vt:variant>
        <vt:i4>0</vt:i4>
      </vt:variant>
      <vt:variant>
        <vt:i4>5</vt:i4>
      </vt:variant>
      <vt:variant>
        <vt:lpwstr>https://intranet.intra.preston.local/Audit/_layouts/15/WopiFrame.aspx?sourcedoc=/Audit/StaffDocuments/Audit%20Actions%20-%20Priorities.docx&amp;action=default%20</vt:lpwstr>
      </vt:variant>
      <vt:variant>
        <vt:lpwstr/>
      </vt:variant>
      <vt:variant>
        <vt:i4>1572961</vt:i4>
      </vt:variant>
      <vt:variant>
        <vt:i4>0</vt:i4>
      </vt:variant>
      <vt:variant>
        <vt:i4>0</vt:i4>
      </vt:variant>
      <vt:variant>
        <vt:i4>5</vt:i4>
      </vt:variant>
      <vt:variant>
        <vt:lpwstr>https://intranet.intra.preston.local/Audit/_layouts/15/WopiFrame.aspx?sourcedoc=/Audit/StaffDocuments/Audit%20Assurances%20-%20Definitions.docx&amp;action=default.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 IA Report Template</dc:title>
  <dc:creator>Knighton</dc:creator>
  <cp:lastModifiedBy>Dawn Highton</cp:lastModifiedBy>
  <cp:revision>26</cp:revision>
  <cp:lastPrinted>2022-05-11T12:16:00Z</cp:lastPrinted>
  <dcterms:created xsi:type="dcterms:W3CDTF">2022-05-09T18:59:00Z</dcterms:created>
  <dcterms:modified xsi:type="dcterms:W3CDTF">2022-05-12T15:11:00Z</dcterms:modified>
</cp:coreProperties>
</file>